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14AD" w:rsidRDefault="002114AD" w:rsidP="00DA0D41">
      <w:pPr>
        <w:rPr>
          <w:b/>
          <w:sz w:val="28"/>
          <w:szCs w:val="28"/>
        </w:rPr>
      </w:pPr>
      <w:r>
        <w:rPr>
          <w:b/>
          <w:sz w:val="28"/>
          <w:szCs w:val="28"/>
        </w:rPr>
        <w:t>Musterklausur HLTW13 _ 2013 Angabeteil</w:t>
      </w:r>
    </w:p>
    <w:p w:rsidR="00DA0D41" w:rsidRPr="00D14128" w:rsidRDefault="00DA0D41" w:rsidP="00DA0D41">
      <w:pPr>
        <w:rPr>
          <w:b/>
          <w:sz w:val="28"/>
          <w:szCs w:val="28"/>
        </w:rPr>
      </w:pPr>
      <w:r w:rsidRPr="00D14128">
        <w:rPr>
          <w:b/>
          <w:sz w:val="28"/>
          <w:szCs w:val="28"/>
        </w:rPr>
        <w:t>Unternehmensbeschreibung</w:t>
      </w:r>
    </w:p>
    <w:p w:rsidR="00DA0D41" w:rsidRDefault="00DA0D41" w:rsidP="00DA0D41">
      <w:pPr>
        <w:jc w:val="both"/>
        <w:rPr>
          <w:sz w:val="22"/>
          <w:szCs w:val="22"/>
        </w:rPr>
      </w:pPr>
    </w:p>
    <w:p w:rsidR="00DA0D41" w:rsidRPr="005D7A13" w:rsidRDefault="00DA0D41" w:rsidP="00DA0D41">
      <w:pPr>
        <w:shd w:val="clear" w:color="auto" w:fill="D9D9D9"/>
        <w:spacing w:line="276" w:lineRule="auto"/>
        <w:jc w:val="both"/>
        <w:rPr>
          <w:sz w:val="22"/>
          <w:szCs w:val="22"/>
        </w:rPr>
      </w:pPr>
      <w:r w:rsidRPr="005D7A13">
        <w:rPr>
          <w:sz w:val="22"/>
          <w:szCs w:val="22"/>
        </w:rPr>
        <w:t>Hinweis: Die Unternehmensbeschreibung orientiert sich an einem real existierenden Unternehmen. Sämtliche Sachverhalte und Zahlen wurden frei erfunden.</w:t>
      </w:r>
    </w:p>
    <w:p w:rsidR="00DA0D41" w:rsidRPr="005D7A13" w:rsidRDefault="00DA0D41" w:rsidP="00DA0D41">
      <w:pPr>
        <w:spacing w:line="276" w:lineRule="auto"/>
        <w:jc w:val="both"/>
        <w:rPr>
          <w:sz w:val="22"/>
          <w:szCs w:val="22"/>
        </w:rPr>
      </w:pPr>
    </w:p>
    <w:p w:rsidR="00DA0D41" w:rsidRPr="005D7A13" w:rsidRDefault="00DA0D41" w:rsidP="00DA0D41">
      <w:pPr>
        <w:spacing w:line="276" w:lineRule="auto"/>
        <w:jc w:val="both"/>
        <w:rPr>
          <w:sz w:val="22"/>
          <w:szCs w:val="22"/>
        </w:rPr>
      </w:pPr>
      <w:r w:rsidRPr="005D7A13">
        <w:rPr>
          <w:sz w:val="22"/>
          <w:szCs w:val="22"/>
        </w:rPr>
        <w:t>Der „Family Entertainment Park“ in der Steiermark bietet auf 120.000 m</w:t>
      </w:r>
      <w:r w:rsidRPr="005D7A13">
        <w:rPr>
          <w:sz w:val="22"/>
          <w:szCs w:val="22"/>
          <w:vertAlign w:val="superscript"/>
        </w:rPr>
        <w:t>2</w:t>
      </w:r>
      <w:r w:rsidRPr="005D7A13">
        <w:rPr>
          <w:sz w:val="22"/>
          <w:szCs w:val="22"/>
        </w:rPr>
        <w:t xml:space="preserve"> Spiel und Spaß für die ganze Familie. Als Familienunternehmen mit internationaler Ausrichtung wurde er vor 25 Jahren als kleiner Märchenwald gegründet und gehört heute zu einer wichtigen Tourismusdestination im ganzen Bundesland.</w:t>
      </w:r>
    </w:p>
    <w:p w:rsidR="00DA0D41" w:rsidRPr="005D7A13" w:rsidRDefault="00DA0D41" w:rsidP="00DA0D41">
      <w:pPr>
        <w:spacing w:line="276" w:lineRule="auto"/>
        <w:jc w:val="both"/>
        <w:rPr>
          <w:sz w:val="22"/>
          <w:szCs w:val="22"/>
        </w:rPr>
      </w:pPr>
    </w:p>
    <w:p w:rsidR="00DA0D41" w:rsidRPr="005D7A13" w:rsidRDefault="00DA0D41" w:rsidP="00DA0D41">
      <w:pPr>
        <w:spacing w:line="276" w:lineRule="auto"/>
        <w:jc w:val="both"/>
        <w:rPr>
          <w:sz w:val="22"/>
          <w:szCs w:val="22"/>
        </w:rPr>
      </w:pPr>
      <w:r w:rsidRPr="005D7A13">
        <w:rPr>
          <w:sz w:val="22"/>
          <w:szCs w:val="22"/>
        </w:rPr>
        <w:t>Der Park w</w:t>
      </w:r>
      <w:r>
        <w:rPr>
          <w:sz w:val="22"/>
          <w:szCs w:val="22"/>
        </w:rPr>
        <w:t>ird in die vier Themenbereiche Action</w:t>
      </w:r>
      <w:r w:rsidRPr="005D7A13">
        <w:rPr>
          <w:sz w:val="22"/>
          <w:szCs w:val="22"/>
        </w:rPr>
        <w:t xml:space="preserve">, Märchenwald, </w:t>
      </w:r>
      <w:r>
        <w:rPr>
          <w:sz w:val="22"/>
          <w:szCs w:val="22"/>
        </w:rPr>
        <w:t>Adventure</w:t>
      </w:r>
      <w:r w:rsidRPr="005D7A13">
        <w:rPr>
          <w:sz w:val="22"/>
          <w:szCs w:val="22"/>
        </w:rPr>
        <w:t xml:space="preserve"> und Bauernhof gegliedert. Am beliebtesten sind die Fahrattraktionen wie die </w:t>
      </w:r>
      <w:proofErr w:type="spellStart"/>
      <w:r w:rsidRPr="005D7A13">
        <w:rPr>
          <w:sz w:val="22"/>
          <w:szCs w:val="22"/>
        </w:rPr>
        <w:t>Dinobahn</w:t>
      </w:r>
      <w:proofErr w:type="spellEnd"/>
      <w:r w:rsidRPr="005D7A13">
        <w:rPr>
          <w:sz w:val="22"/>
          <w:szCs w:val="22"/>
        </w:rPr>
        <w:t xml:space="preserve">, der Seedrache oder die </w:t>
      </w:r>
      <w:proofErr w:type="gramStart"/>
      <w:r w:rsidRPr="005D7A13">
        <w:rPr>
          <w:sz w:val="22"/>
          <w:szCs w:val="22"/>
        </w:rPr>
        <w:t>Familienachterbahn</w:t>
      </w:r>
      <w:proofErr w:type="gramEnd"/>
      <w:r w:rsidRPr="005D7A13">
        <w:rPr>
          <w:sz w:val="22"/>
          <w:szCs w:val="22"/>
        </w:rPr>
        <w:t xml:space="preserve"> um nur einige zu nennen. Im ruhigeren Bereich kann man sich Märchendarstellungen ansehen, den Waldrundgang genießen oder im Tierpark im Streichelzoo entspannen. Auch die Kulinarik kommt nicht zu kurz. Zahlreiche Restaurants und Schenken finden sich auf dem Gelände.</w:t>
      </w:r>
    </w:p>
    <w:p w:rsidR="00DA0D41" w:rsidRPr="005D7A13" w:rsidRDefault="00DA0D41" w:rsidP="00DA0D41">
      <w:pPr>
        <w:spacing w:line="276" w:lineRule="auto"/>
        <w:jc w:val="both"/>
        <w:rPr>
          <w:sz w:val="22"/>
          <w:szCs w:val="22"/>
        </w:rPr>
      </w:pPr>
      <w:r w:rsidRPr="005D7A13">
        <w:rPr>
          <w:noProof/>
          <w:szCs w:val="22"/>
        </w:rPr>
        <w:drawing>
          <wp:anchor distT="0" distB="0" distL="114300" distR="114300" simplePos="0" relativeHeight="251660288" behindDoc="0" locked="0" layoutInCell="1" allowOverlap="1" wp14:anchorId="0DE24213" wp14:editId="3C0D95D0">
            <wp:simplePos x="0" y="0"/>
            <wp:positionH relativeFrom="column">
              <wp:posOffset>2216150</wp:posOffset>
            </wp:positionH>
            <wp:positionV relativeFrom="paragraph">
              <wp:posOffset>241300</wp:posOffset>
            </wp:positionV>
            <wp:extent cx="3513455" cy="1438275"/>
            <wp:effectExtent l="0" t="0" r="0" b="0"/>
            <wp:wrapTight wrapText="bothSides">
              <wp:wrapPolygon edited="0">
                <wp:start x="0" y="0"/>
                <wp:lineTo x="0" y="21362"/>
                <wp:lineTo x="21393" y="21362"/>
                <wp:lineTo x="21393" y="0"/>
                <wp:lineTo x="0" y="0"/>
              </wp:wrapPolygon>
            </wp:wrapTight>
            <wp:docPr id="1" name="Bild 1" descr="Mac OSX Mountain Lion:Users:wegi:Desktop:Bildschirmfoto 2012-10-29 um 21.5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OSX Mountain Lion:Users:wegi:Desktop:Bildschirmfoto 2012-10-29 um 21.51.2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3455" cy="14382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DA0D41" w:rsidRDefault="00DA0D41" w:rsidP="00DA0D41">
      <w:pPr>
        <w:autoSpaceDE w:val="0"/>
        <w:autoSpaceDN w:val="0"/>
        <w:adjustRightInd w:val="0"/>
        <w:spacing w:line="276" w:lineRule="auto"/>
        <w:jc w:val="both"/>
        <w:rPr>
          <w:noProof/>
          <w:sz w:val="22"/>
          <w:szCs w:val="22"/>
        </w:rPr>
      </w:pPr>
      <w:r w:rsidRPr="005D7A13">
        <w:rPr>
          <w:noProof/>
          <w:sz w:val="22"/>
          <w:szCs w:val="22"/>
        </w:rPr>
        <w:drawing>
          <wp:anchor distT="0" distB="0" distL="114300" distR="114300" simplePos="0" relativeHeight="251659264" behindDoc="0" locked="0" layoutInCell="1" allowOverlap="1" wp14:anchorId="70392E44" wp14:editId="5CB0E182">
            <wp:simplePos x="0" y="0"/>
            <wp:positionH relativeFrom="column">
              <wp:posOffset>15240</wp:posOffset>
            </wp:positionH>
            <wp:positionV relativeFrom="paragraph">
              <wp:posOffset>59055</wp:posOffset>
            </wp:positionV>
            <wp:extent cx="2012315" cy="1448435"/>
            <wp:effectExtent l="0" t="0" r="0" b="0"/>
            <wp:wrapTight wrapText="bothSides">
              <wp:wrapPolygon edited="0">
                <wp:start x="0" y="0"/>
                <wp:lineTo x="0" y="21212"/>
                <wp:lineTo x="21266" y="21212"/>
                <wp:lineTo x="21266" y="0"/>
                <wp:lineTo x="0" y="0"/>
              </wp:wrapPolygon>
            </wp:wrapTight>
            <wp:docPr id="4" name="Bild 4" descr="Mac OSX Mountain Lion:Users:wegi:Desktop:thumb_1981__auto_b28f33b4cce27d12430e07ca991b01d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OSX Mountain Lion:Users:wegi:Desktop:thumb_1981__auto_b28f33b4cce27d12430e07ca991b01dd.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4031"/>
                    <a:stretch/>
                  </pic:blipFill>
                  <pic:spPr bwMode="auto">
                    <a:xfrm>
                      <a:off x="0" y="0"/>
                      <a:ext cx="2012315" cy="14484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DA0D41" w:rsidRPr="005D7A13" w:rsidRDefault="00DA0D41" w:rsidP="00DA0D41">
      <w:pPr>
        <w:autoSpaceDE w:val="0"/>
        <w:autoSpaceDN w:val="0"/>
        <w:adjustRightInd w:val="0"/>
        <w:spacing w:line="276" w:lineRule="auto"/>
        <w:jc w:val="both"/>
        <w:rPr>
          <w:sz w:val="22"/>
          <w:szCs w:val="22"/>
        </w:rPr>
      </w:pPr>
      <w:r w:rsidRPr="005D7A13">
        <w:rPr>
          <w:noProof/>
          <w:sz w:val="22"/>
          <w:szCs w:val="22"/>
        </w:rPr>
        <w:t>Clemens Müller</w:t>
      </w:r>
      <w:r w:rsidRPr="005D7A13">
        <w:rPr>
          <w:sz w:val="22"/>
          <w:szCs w:val="22"/>
        </w:rPr>
        <w:t xml:space="preserve"> und sein Team haben mit diesem Konzept den Puls der Zeit getroffen. Allein in den vergangenen vier Jahren stieg die Besucherzahl von 2</w:t>
      </w:r>
      <w:r>
        <w:rPr>
          <w:sz w:val="22"/>
          <w:szCs w:val="22"/>
        </w:rPr>
        <w:t>25</w:t>
      </w:r>
      <w:r w:rsidRPr="005D7A13">
        <w:rPr>
          <w:sz w:val="22"/>
          <w:szCs w:val="22"/>
        </w:rPr>
        <w:t xml:space="preserve">.000 auf über </w:t>
      </w:r>
      <w:r>
        <w:rPr>
          <w:sz w:val="22"/>
          <w:szCs w:val="22"/>
        </w:rPr>
        <w:t>380</w:t>
      </w:r>
      <w:r w:rsidRPr="005D7A13">
        <w:rPr>
          <w:sz w:val="22"/>
          <w:szCs w:val="22"/>
        </w:rPr>
        <w:t xml:space="preserve">.000 Besucher/innen. Es werden jährlich neue Attraktionen und neue Abenteuer angeboten. </w:t>
      </w:r>
    </w:p>
    <w:p w:rsidR="00DA0D41" w:rsidRDefault="00DA0D41" w:rsidP="00DA0D41">
      <w:pPr>
        <w:autoSpaceDE w:val="0"/>
        <w:autoSpaceDN w:val="0"/>
        <w:adjustRightInd w:val="0"/>
        <w:spacing w:line="276" w:lineRule="auto"/>
        <w:jc w:val="both"/>
        <w:rPr>
          <w:sz w:val="22"/>
          <w:szCs w:val="22"/>
        </w:rPr>
      </w:pPr>
    </w:p>
    <w:p w:rsidR="00DA0D41" w:rsidRPr="005D7A13" w:rsidRDefault="00DA0D41" w:rsidP="00DA0D41">
      <w:pPr>
        <w:autoSpaceDE w:val="0"/>
        <w:autoSpaceDN w:val="0"/>
        <w:adjustRightInd w:val="0"/>
        <w:spacing w:line="276" w:lineRule="auto"/>
        <w:jc w:val="both"/>
        <w:rPr>
          <w:sz w:val="22"/>
          <w:szCs w:val="22"/>
        </w:rPr>
      </w:pPr>
      <w:r w:rsidRPr="005D7A13">
        <w:rPr>
          <w:sz w:val="22"/>
          <w:szCs w:val="22"/>
        </w:rPr>
        <w:t>Im letzten Jahr wurden ein neuer Souvenirshop und ein Oldtimer-</w:t>
      </w:r>
      <w:proofErr w:type="spellStart"/>
      <w:r w:rsidRPr="005D7A13">
        <w:rPr>
          <w:sz w:val="22"/>
          <w:szCs w:val="22"/>
        </w:rPr>
        <w:t>Convoy</w:t>
      </w:r>
      <w:proofErr w:type="spellEnd"/>
      <w:r w:rsidRPr="005D7A13">
        <w:rPr>
          <w:sz w:val="22"/>
          <w:szCs w:val="22"/>
        </w:rPr>
        <w:t xml:space="preserve"> angeschafft, mit dem jetzt auch Erwachsene fahren können. </w:t>
      </w:r>
    </w:p>
    <w:p w:rsidR="00DA0D41" w:rsidRPr="005D7A13" w:rsidRDefault="00DA0D41" w:rsidP="00DA0D41">
      <w:pPr>
        <w:spacing w:line="276" w:lineRule="auto"/>
        <w:jc w:val="center"/>
        <w:rPr>
          <w:sz w:val="14"/>
          <w:szCs w:val="22"/>
        </w:rPr>
      </w:pPr>
    </w:p>
    <w:p w:rsidR="00DA0D41" w:rsidRPr="005D7A13" w:rsidRDefault="00DA0D41" w:rsidP="00DA0D41">
      <w:pPr>
        <w:spacing w:line="276" w:lineRule="auto"/>
        <w:jc w:val="center"/>
        <w:rPr>
          <w:szCs w:val="22"/>
        </w:rPr>
      </w:pPr>
    </w:p>
    <w:p w:rsidR="00DA0D41" w:rsidRPr="005D7A13" w:rsidRDefault="00DA0D41" w:rsidP="00DA0D41">
      <w:pPr>
        <w:spacing w:line="276" w:lineRule="auto"/>
        <w:rPr>
          <w:szCs w:val="22"/>
        </w:rPr>
      </w:pPr>
    </w:p>
    <w:p w:rsidR="00DA0D41" w:rsidRPr="005D7A13" w:rsidRDefault="00DA0D41" w:rsidP="00DA0D41">
      <w:pPr>
        <w:spacing w:line="276" w:lineRule="auto"/>
        <w:rPr>
          <w:sz w:val="22"/>
          <w:szCs w:val="22"/>
        </w:rPr>
      </w:pPr>
      <w:r w:rsidRPr="005D7A13">
        <w:rPr>
          <w:sz w:val="22"/>
          <w:szCs w:val="22"/>
        </w:rPr>
        <w:t>Daten zum Unternehmen:</w:t>
      </w:r>
      <w:r w:rsidRPr="005D7A13">
        <w:rPr>
          <w:sz w:val="22"/>
          <w:szCs w:val="22"/>
        </w:rPr>
        <w:tab/>
        <w:t>Family Entertainment Park GmbH</w:t>
      </w:r>
    </w:p>
    <w:p w:rsidR="00DA0D41" w:rsidRPr="005D7A13" w:rsidRDefault="00DA0D41" w:rsidP="00DA0D41">
      <w:pPr>
        <w:spacing w:line="276" w:lineRule="auto"/>
        <w:ind w:left="2832" w:firstLine="708"/>
        <w:rPr>
          <w:sz w:val="22"/>
        </w:rPr>
      </w:pPr>
      <w:proofErr w:type="spellStart"/>
      <w:r w:rsidRPr="005D7A13">
        <w:rPr>
          <w:sz w:val="22"/>
        </w:rPr>
        <w:t>Speltenbacherweg</w:t>
      </w:r>
      <w:proofErr w:type="spellEnd"/>
      <w:r w:rsidRPr="005D7A13">
        <w:rPr>
          <w:sz w:val="22"/>
        </w:rPr>
        <w:t xml:space="preserve"> 1</w:t>
      </w:r>
    </w:p>
    <w:p w:rsidR="00DA0D41" w:rsidRPr="005D7A13" w:rsidRDefault="00DA0D41" w:rsidP="00DA0D41">
      <w:pPr>
        <w:spacing w:line="276" w:lineRule="auto"/>
        <w:ind w:left="2832" w:firstLine="708"/>
        <w:rPr>
          <w:sz w:val="22"/>
        </w:rPr>
      </w:pPr>
      <w:r w:rsidRPr="005D7A13">
        <w:rPr>
          <w:sz w:val="22"/>
        </w:rPr>
        <w:t>8280 Altenmarkt bei Fürstenfeld</w:t>
      </w:r>
    </w:p>
    <w:p w:rsidR="00DA0D41" w:rsidRPr="005D7A13" w:rsidRDefault="00DA0D41" w:rsidP="00DA0D41">
      <w:pPr>
        <w:spacing w:line="276" w:lineRule="auto"/>
        <w:ind w:left="2832" w:firstLine="708"/>
        <w:rPr>
          <w:sz w:val="22"/>
        </w:rPr>
      </w:pPr>
    </w:p>
    <w:p w:rsidR="00DA0D41" w:rsidRPr="005D7A13" w:rsidRDefault="00DA0D41" w:rsidP="00DA0D41">
      <w:pPr>
        <w:spacing w:line="276" w:lineRule="auto"/>
        <w:ind w:left="2832" w:firstLine="708"/>
        <w:rPr>
          <w:rFonts w:eastAsia="Times New Roman" w:cs="Times New Roman"/>
          <w:sz w:val="22"/>
        </w:rPr>
      </w:pPr>
      <w:r w:rsidRPr="005D7A13">
        <w:rPr>
          <w:sz w:val="22"/>
        </w:rPr>
        <w:t xml:space="preserve">IBAN: </w:t>
      </w:r>
      <w:r w:rsidRPr="005D7A13">
        <w:rPr>
          <w:rFonts w:eastAsia="Times New Roman" w:cs="Times New Roman"/>
          <w:sz w:val="22"/>
        </w:rPr>
        <w:t>AT66 1200 0007 8306 1070</w:t>
      </w:r>
    </w:p>
    <w:p w:rsidR="00DA0D41" w:rsidRPr="005D7A13" w:rsidRDefault="00DA0D41" w:rsidP="00DA0D41">
      <w:pPr>
        <w:spacing w:line="276" w:lineRule="auto"/>
        <w:ind w:left="2832" w:firstLine="708"/>
        <w:rPr>
          <w:rFonts w:eastAsia="Times New Roman" w:cs="Times New Roman"/>
          <w:sz w:val="22"/>
        </w:rPr>
      </w:pPr>
      <w:r w:rsidRPr="005D7A13">
        <w:rPr>
          <w:sz w:val="22"/>
        </w:rPr>
        <w:t>BIC:</w:t>
      </w:r>
      <w:r w:rsidRPr="005D7A13">
        <w:rPr>
          <w:sz w:val="22"/>
        </w:rPr>
        <w:tab/>
      </w:r>
      <w:r w:rsidRPr="005D7A13">
        <w:rPr>
          <w:rFonts w:eastAsia="Times New Roman" w:cs="Times New Roman"/>
          <w:sz w:val="22"/>
        </w:rPr>
        <w:t>BKAUATWW</w:t>
      </w:r>
    </w:p>
    <w:p w:rsidR="00DA0D41" w:rsidRPr="005D7A13" w:rsidRDefault="00DA0D41" w:rsidP="00DA0D41">
      <w:pPr>
        <w:spacing w:line="276" w:lineRule="auto"/>
        <w:ind w:left="2832" w:firstLine="708"/>
        <w:rPr>
          <w:sz w:val="22"/>
        </w:rPr>
      </w:pPr>
    </w:p>
    <w:p w:rsidR="00DA0D41" w:rsidRPr="005D7A13" w:rsidRDefault="00DA0D41" w:rsidP="00DA0D41">
      <w:pPr>
        <w:spacing w:line="276" w:lineRule="auto"/>
        <w:ind w:left="2832" w:firstLine="708"/>
        <w:rPr>
          <w:sz w:val="22"/>
        </w:rPr>
      </w:pPr>
      <w:r w:rsidRPr="005D7A13">
        <w:rPr>
          <w:sz w:val="22"/>
        </w:rPr>
        <w:t>Firmenbuchnummer: FN 181565z</w:t>
      </w:r>
    </w:p>
    <w:p w:rsidR="00DA0D41" w:rsidRPr="00E32AB4" w:rsidRDefault="00DA0D41" w:rsidP="00DA0D41">
      <w:pPr>
        <w:spacing w:line="276" w:lineRule="auto"/>
        <w:rPr>
          <w:b/>
          <w:sz w:val="32"/>
          <w:szCs w:val="22"/>
        </w:rPr>
      </w:pPr>
      <w:r>
        <w:rPr>
          <w:b/>
          <w:sz w:val="28"/>
          <w:szCs w:val="22"/>
        </w:rPr>
        <w:br w:type="column"/>
      </w:r>
      <w:r w:rsidRPr="00E32AB4">
        <w:rPr>
          <w:b/>
          <w:sz w:val="28"/>
          <w:szCs w:val="22"/>
        </w:rPr>
        <w:lastRenderedPageBreak/>
        <w:t>Themenbereich 2: Bilanzierung, Investition und Finanzierung, Bilanzanalyse, Banken</w:t>
      </w:r>
      <w:r w:rsidRPr="00E32AB4">
        <w:rPr>
          <w:b/>
          <w:noProof/>
          <w:sz w:val="36"/>
        </w:rPr>
        <w:t xml:space="preserve"> </w:t>
      </w:r>
    </w:p>
    <w:p w:rsidR="00DA0D41" w:rsidRDefault="00DA0D41" w:rsidP="00DA0D41">
      <w:pPr>
        <w:spacing w:line="276" w:lineRule="auto"/>
        <w:jc w:val="both"/>
        <w:rPr>
          <w:sz w:val="22"/>
        </w:rPr>
      </w:pPr>
    </w:p>
    <w:p w:rsidR="00DA0D41" w:rsidRPr="00512BFF" w:rsidRDefault="00DA0D41" w:rsidP="00DA0D41">
      <w:pPr>
        <w:shd w:val="clear" w:color="auto" w:fill="E0E0E0"/>
        <w:spacing w:line="276" w:lineRule="auto"/>
        <w:rPr>
          <w:b/>
          <w:sz w:val="22"/>
          <w:szCs w:val="22"/>
        </w:rPr>
      </w:pPr>
      <w:r w:rsidRPr="00512BFF">
        <w:rPr>
          <w:b/>
          <w:sz w:val="22"/>
          <w:szCs w:val="22"/>
        </w:rPr>
        <w:t>Kompetenzen:</w:t>
      </w:r>
    </w:p>
    <w:p w:rsidR="00DA0D41" w:rsidRDefault="00DA0D41" w:rsidP="00DA0D41">
      <w:pPr>
        <w:shd w:val="clear" w:color="auto" w:fill="E0E0E0"/>
        <w:spacing w:line="276" w:lineRule="auto"/>
        <w:rPr>
          <w:sz w:val="22"/>
          <w:szCs w:val="22"/>
        </w:rPr>
      </w:pPr>
    </w:p>
    <w:p w:rsidR="00DA0D41" w:rsidRDefault="00DA0D41" w:rsidP="00DA0D41">
      <w:pPr>
        <w:pStyle w:val="Listenabsatz"/>
        <w:numPr>
          <w:ilvl w:val="0"/>
          <w:numId w:val="6"/>
        </w:numPr>
        <w:shd w:val="clear" w:color="auto" w:fill="E0E0E0"/>
        <w:spacing w:line="276" w:lineRule="auto"/>
        <w:rPr>
          <w:sz w:val="22"/>
          <w:szCs w:val="22"/>
        </w:rPr>
      </w:pPr>
      <w:r>
        <w:rPr>
          <w:sz w:val="22"/>
          <w:szCs w:val="22"/>
        </w:rPr>
        <w:t>Um- und Nachbuchungen im Zusammenhang mit dem Jahresabschluss korrekt durchführen können</w:t>
      </w:r>
    </w:p>
    <w:p w:rsidR="00DA0D41" w:rsidRPr="00512BFF" w:rsidRDefault="00DA0D41" w:rsidP="00DA0D41">
      <w:pPr>
        <w:pStyle w:val="Listenabsatz"/>
        <w:numPr>
          <w:ilvl w:val="0"/>
          <w:numId w:val="6"/>
        </w:numPr>
        <w:shd w:val="clear" w:color="auto" w:fill="E0E0E0"/>
        <w:spacing w:line="276" w:lineRule="auto"/>
        <w:rPr>
          <w:sz w:val="22"/>
          <w:szCs w:val="22"/>
        </w:rPr>
      </w:pPr>
      <w:r>
        <w:rPr>
          <w:sz w:val="22"/>
          <w:szCs w:val="22"/>
        </w:rPr>
        <w:t>Kriterien für die Entscheidung für eine Investitionsalternative finden können</w:t>
      </w:r>
    </w:p>
    <w:p w:rsidR="00DA0D41" w:rsidRPr="00512BFF" w:rsidRDefault="00DA0D41" w:rsidP="00DA0D41">
      <w:pPr>
        <w:pStyle w:val="Listenabsatz"/>
        <w:numPr>
          <w:ilvl w:val="0"/>
          <w:numId w:val="6"/>
        </w:numPr>
        <w:shd w:val="clear" w:color="auto" w:fill="E0E0E0"/>
        <w:spacing w:line="276" w:lineRule="auto"/>
        <w:rPr>
          <w:sz w:val="22"/>
          <w:szCs w:val="22"/>
        </w:rPr>
      </w:pPr>
      <w:r>
        <w:rPr>
          <w:sz w:val="22"/>
          <w:szCs w:val="22"/>
        </w:rPr>
        <w:t>sinnvolle Finanzierungsmöglichkeiten auswählen können</w:t>
      </w:r>
    </w:p>
    <w:p w:rsidR="00DA0D41" w:rsidRPr="00512BFF" w:rsidRDefault="00DA0D41" w:rsidP="00DA0D41">
      <w:pPr>
        <w:pStyle w:val="Listenabsatz"/>
        <w:numPr>
          <w:ilvl w:val="0"/>
          <w:numId w:val="6"/>
        </w:numPr>
        <w:shd w:val="clear" w:color="auto" w:fill="E0E0E0"/>
        <w:spacing w:line="276" w:lineRule="auto"/>
        <w:rPr>
          <w:sz w:val="22"/>
          <w:szCs w:val="22"/>
        </w:rPr>
      </w:pPr>
      <w:r>
        <w:rPr>
          <w:sz w:val="22"/>
          <w:szCs w:val="22"/>
        </w:rPr>
        <w:t>Informationen für ein Gespräch bei der Bank aufbereiten können</w:t>
      </w:r>
    </w:p>
    <w:p w:rsidR="00DA0D41" w:rsidRDefault="00DA0D41" w:rsidP="00DA0D41">
      <w:pPr>
        <w:spacing w:line="276" w:lineRule="auto"/>
        <w:jc w:val="both"/>
        <w:rPr>
          <w:sz w:val="22"/>
        </w:rPr>
      </w:pPr>
    </w:p>
    <w:p w:rsidR="00DA0D41" w:rsidRDefault="00DA0D41" w:rsidP="00DA0D41">
      <w:pPr>
        <w:spacing w:line="276" w:lineRule="auto"/>
        <w:jc w:val="both"/>
        <w:rPr>
          <w:sz w:val="22"/>
        </w:rPr>
      </w:pPr>
    </w:p>
    <w:p w:rsidR="00DA0D41" w:rsidRPr="00655EED" w:rsidRDefault="00DA0D41" w:rsidP="00DA0D41">
      <w:pPr>
        <w:spacing w:line="276" w:lineRule="auto"/>
        <w:jc w:val="both"/>
        <w:rPr>
          <w:b/>
          <w:sz w:val="22"/>
        </w:rPr>
      </w:pPr>
      <w:r>
        <w:rPr>
          <w:b/>
          <w:sz w:val="22"/>
          <w:highlight w:val="lightGray"/>
        </w:rPr>
        <w:t>Arbeitsaufgabe</w:t>
      </w:r>
      <w:r w:rsidRPr="00655EED">
        <w:rPr>
          <w:b/>
          <w:sz w:val="22"/>
          <w:highlight w:val="lightGray"/>
        </w:rPr>
        <w:t xml:space="preserve"> 1: Um- und Nachbuchungen durchführen</w:t>
      </w:r>
    </w:p>
    <w:p w:rsidR="00DA0D41" w:rsidRDefault="00DA0D41" w:rsidP="00DA0D41">
      <w:pPr>
        <w:spacing w:line="276" w:lineRule="auto"/>
        <w:jc w:val="both"/>
        <w:rPr>
          <w:sz w:val="22"/>
        </w:rPr>
      </w:pPr>
    </w:p>
    <w:p w:rsidR="00DA0D41" w:rsidRPr="00191AB3" w:rsidRDefault="00DA0D41" w:rsidP="00DA0D41">
      <w:pPr>
        <w:spacing w:line="276" w:lineRule="auto"/>
        <w:jc w:val="both"/>
        <w:rPr>
          <w:sz w:val="22"/>
        </w:rPr>
      </w:pPr>
      <w:r w:rsidRPr="00191AB3">
        <w:rPr>
          <w:sz w:val="22"/>
        </w:rPr>
        <w:t xml:space="preserve">Für den Jahresabschluss </w:t>
      </w:r>
      <w:r>
        <w:rPr>
          <w:sz w:val="22"/>
        </w:rPr>
        <w:t>der Family Entertainment GmbH</w:t>
      </w:r>
      <w:r w:rsidRPr="00191AB3">
        <w:rPr>
          <w:sz w:val="22"/>
        </w:rPr>
        <w:t xml:space="preserve"> stehen Ihnen die unten angeführten Informationen zur Verfügung:</w:t>
      </w:r>
    </w:p>
    <w:p w:rsidR="00DA0D41" w:rsidRPr="00191AB3" w:rsidRDefault="00DA0D41" w:rsidP="00DA0D41">
      <w:pPr>
        <w:spacing w:line="276" w:lineRule="auto"/>
        <w:rPr>
          <w:sz w:val="22"/>
        </w:rPr>
      </w:pPr>
    </w:p>
    <w:p w:rsidR="00DA0D41" w:rsidRDefault="00DA0D41" w:rsidP="00DA0D41">
      <w:pPr>
        <w:spacing w:line="276" w:lineRule="auto"/>
        <w:rPr>
          <w:b/>
          <w:sz w:val="22"/>
          <w:u w:val="single"/>
        </w:rPr>
      </w:pPr>
      <w:r>
        <w:rPr>
          <w:b/>
          <w:sz w:val="22"/>
          <w:u w:val="single"/>
        </w:rPr>
        <w:t>Hinweise:</w:t>
      </w:r>
    </w:p>
    <w:p w:rsidR="00DA0D41" w:rsidRPr="00191AB3" w:rsidRDefault="00DA0D41" w:rsidP="00DA0D41">
      <w:pPr>
        <w:spacing w:line="276" w:lineRule="auto"/>
        <w:rPr>
          <w:sz w:val="22"/>
        </w:rPr>
      </w:pPr>
    </w:p>
    <w:p w:rsidR="00DA0D41" w:rsidRPr="00191AB3" w:rsidRDefault="00DA0D41" w:rsidP="00DA0D41">
      <w:pPr>
        <w:pStyle w:val="Listenabsatz"/>
        <w:numPr>
          <w:ilvl w:val="0"/>
          <w:numId w:val="3"/>
        </w:numPr>
        <w:spacing w:after="200" w:line="276" w:lineRule="auto"/>
        <w:rPr>
          <w:sz w:val="22"/>
        </w:rPr>
      </w:pPr>
      <w:r w:rsidRPr="00191AB3">
        <w:rPr>
          <w:sz w:val="22"/>
        </w:rPr>
        <w:t xml:space="preserve">Führen Sie die Nebenrechnungen so an, dass Ihre Lösungen nachvollziehbar sind. </w:t>
      </w:r>
    </w:p>
    <w:p w:rsidR="00DA0D41" w:rsidRPr="00191AB3" w:rsidRDefault="00DA0D41" w:rsidP="00DA0D41">
      <w:pPr>
        <w:pStyle w:val="Listenabsatz"/>
        <w:numPr>
          <w:ilvl w:val="0"/>
          <w:numId w:val="3"/>
        </w:numPr>
        <w:spacing w:after="200" w:line="276" w:lineRule="auto"/>
        <w:rPr>
          <w:sz w:val="22"/>
        </w:rPr>
      </w:pPr>
      <w:r w:rsidRPr="00191AB3">
        <w:rPr>
          <w:sz w:val="22"/>
        </w:rPr>
        <w:t>Sämtliche Beträge sind auf 2 Dezimalstellen zu runden.</w:t>
      </w:r>
    </w:p>
    <w:p w:rsidR="00DA0D41" w:rsidRPr="00191AB3" w:rsidRDefault="00DA0D41" w:rsidP="00DA0D41">
      <w:pPr>
        <w:pStyle w:val="Listenabsatz"/>
        <w:numPr>
          <w:ilvl w:val="0"/>
          <w:numId w:val="3"/>
        </w:numPr>
        <w:spacing w:after="200" w:line="276" w:lineRule="auto"/>
        <w:rPr>
          <w:sz w:val="22"/>
        </w:rPr>
      </w:pPr>
      <w:r w:rsidRPr="00191AB3">
        <w:rPr>
          <w:sz w:val="22"/>
        </w:rPr>
        <w:t>Geringwertige Wirtschaftsgüter sind sofort beim Kauf abzuschreiben.</w:t>
      </w:r>
    </w:p>
    <w:p w:rsidR="00DA0D41" w:rsidRPr="00191AB3" w:rsidRDefault="00DA0D41" w:rsidP="00DA0D41">
      <w:pPr>
        <w:pStyle w:val="Listenabsatz"/>
        <w:numPr>
          <w:ilvl w:val="0"/>
          <w:numId w:val="3"/>
        </w:numPr>
        <w:spacing w:after="200" w:line="276" w:lineRule="auto"/>
        <w:rPr>
          <w:sz w:val="22"/>
        </w:rPr>
      </w:pPr>
      <w:r w:rsidRPr="00191AB3">
        <w:rPr>
          <w:sz w:val="22"/>
        </w:rPr>
        <w:t xml:space="preserve">Abschreibungen werden direkt verbucht. </w:t>
      </w:r>
    </w:p>
    <w:p w:rsidR="00DA0D41" w:rsidRPr="00191AB3" w:rsidRDefault="00DA0D41" w:rsidP="00DA0D41">
      <w:pPr>
        <w:pStyle w:val="Listenabsatz"/>
        <w:numPr>
          <w:ilvl w:val="0"/>
          <w:numId w:val="3"/>
        </w:numPr>
        <w:spacing w:after="200" w:line="276" w:lineRule="auto"/>
        <w:rPr>
          <w:sz w:val="22"/>
        </w:rPr>
      </w:pPr>
      <w:r w:rsidRPr="00191AB3">
        <w:rPr>
          <w:sz w:val="22"/>
        </w:rPr>
        <w:t>Saldierungsbuchungen sind nicht erforderlich!</w:t>
      </w:r>
    </w:p>
    <w:p w:rsidR="00DA0D41" w:rsidRDefault="00DA0D41" w:rsidP="00DA0D41">
      <w:pPr>
        <w:pStyle w:val="Listenabsatz"/>
        <w:numPr>
          <w:ilvl w:val="0"/>
          <w:numId w:val="3"/>
        </w:numPr>
        <w:spacing w:after="200" w:line="276" w:lineRule="auto"/>
        <w:rPr>
          <w:sz w:val="22"/>
        </w:rPr>
      </w:pPr>
      <w:r w:rsidRPr="00191AB3">
        <w:rPr>
          <w:sz w:val="22"/>
        </w:rPr>
        <w:t>Im Betrieb verbleibende Anlagegüter sind bis auf den Erinnerungseuro abzuschreiben!</w:t>
      </w:r>
    </w:p>
    <w:p w:rsidR="00DA0D41" w:rsidRPr="00D75299" w:rsidRDefault="00DA0D41" w:rsidP="00DA0D41">
      <w:pPr>
        <w:spacing w:after="200" w:line="276" w:lineRule="auto"/>
        <w:rPr>
          <w:b/>
          <w:sz w:val="22"/>
        </w:rPr>
      </w:pPr>
      <w:r w:rsidRPr="00D75299">
        <w:rPr>
          <w:b/>
          <w:sz w:val="22"/>
        </w:rPr>
        <w:t>Bilden Sie sämtliche Buchungen, die per 31.12.</w:t>
      </w:r>
      <w:proofErr w:type="gramStart"/>
      <w:r w:rsidRPr="00D75299">
        <w:rPr>
          <w:b/>
          <w:sz w:val="22"/>
        </w:rPr>
        <w:t>20..</w:t>
      </w:r>
      <w:proofErr w:type="gramEnd"/>
      <w:r w:rsidRPr="00D75299">
        <w:rPr>
          <w:b/>
          <w:sz w:val="22"/>
        </w:rPr>
        <w:t xml:space="preserve"> erforderlich sind. </w:t>
      </w:r>
    </w:p>
    <w:p w:rsidR="00DA0D41" w:rsidRPr="00191AB3" w:rsidRDefault="00DA0D41" w:rsidP="00DA0D41">
      <w:pPr>
        <w:spacing w:line="276" w:lineRule="auto"/>
        <w:rPr>
          <w:sz w:val="22"/>
        </w:rPr>
      </w:pPr>
      <w:r w:rsidRPr="00191AB3">
        <w:rPr>
          <w:sz w:val="22"/>
          <w:u w:val="single"/>
        </w:rPr>
        <w:t xml:space="preserve">Auszug aus der Saldenbilanz per 31. Dezember </w:t>
      </w:r>
      <w:proofErr w:type="gramStart"/>
      <w:r w:rsidRPr="00191AB3">
        <w:rPr>
          <w:sz w:val="22"/>
          <w:u w:val="single"/>
        </w:rPr>
        <w:t>20</w:t>
      </w:r>
      <w:r>
        <w:rPr>
          <w:sz w:val="22"/>
          <w:u w:val="single"/>
        </w:rPr>
        <w:t>..</w:t>
      </w:r>
      <w:proofErr w:type="gramEnd"/>
      <w:r w:rsidRPr="00191AB3">
        <w:rPr>
          <w:sz w:val="22"/>
          <w:u w:val="single"/>
        </w:rPr>
        <w:t xml:space="preserve">: </w:t>
      </w:r>
      <w:r w:rsidRPr="00191AB3">
        <w:rPr>
          <w:sz w:val="22"/>
          <w:u w:val="single"/>
        </w:rPr>
        <w:br/>
      </w:r>
      <w:r w:rsidRPr="00191AB3">
        <w:rPr>
          <w:sz w:val="22"/>
        </w:rPr>
        <w:t>(Die Beträge sind in EUR angegeben)</w:t>
      </w:r>
    </w:p>
    <w:p w:rsidR="00DA0D41" w:rsidRPr="00191AB3" w:rsidRDefault="00DA0D41" w:rsidP="00DA0D41">
      <w:pPr>
        <w:spacing w:line="276" w:lineRule="auto"/>
        <w:rPr>
          <w:sz w:val="22"/>
        </w:rPr>
      </w:pPr>
    </w:p>
    <w:tbl>
      <w:tblPr>
        <w:tblStyle w:val="Tabellenraster"/>
        <w:tblW w:w="0" w:type="auto"/>
        <w:tblLook w:val="04A0" w:firstRow="1" w:lastRow="0" w:firstColumn="1" w:lastColumn="0" w:noHBand="0" w:noVBand="1"/>
      </w:tblPr>
      <w:tblGrid>
        <w:gridCol w:w="1281"/>
        <w:gridCol w:w="3619"/>
        <w:gridCol w:w="2131"/>
        <w:gridCol w:w="2025"/>
      </w:tblGrid>
      <w:tr w:rsidR="00DA0D41" w:rsidRPr="00191AB3" w:rsidTr="00271E88">
        <w:tc>
          <w:tcPr>
            <w:tcW w:w="1026" w:type="dxa"/>
            <w:shd w:val="clear" w:color="auto" w:fill="D9D9D9" w:themeFill="background1" w:themeFillShade="D9"/>
          </w:tcPr>
          <w:p w:rsidR="00DA0D41" w:rsidRPr="00191AB3" w:rsidRDefault="00DA0D41" w:rsidP="00271E88">
            <w:pPr>
              <w:rPr>
                <w:b/>
                <w:sz w:val="22"/>
              </w:rPr>
            </w:pPr>
            <w:r w:rsidRPr="00191AB3">
              <w:rPr>
                <w:b/>
                <w:sz w:val="22"/>
              </w:rPr>
              <w:t>Nummer</w:t>
            </w:r>
          </w:p>
        </w:tc>
        <w:tc>
          <w:tcPr>
            <w:tcW w:w="3647" w:type="dxa"/>
            <w:shd w:val="clear" w:color="auto" w:fill="D9D9D9" w:themeFill="background1" w:themeFillShade="D9"/>
          </w:tcPr>
          <w:p w:rsidR="00DA0D41" w:rsidRPr="00191AB3" w:rsidRDefault="00DA0D41" w:rsidP="00271E88">
            <w:pPr>
              <w:rPr>
                <w:b/>
                <w:sz w:val="22"/>
              </w:rPr>
            </w:pPr>
            <w:r w:rsidRPr="00191AB3">
              <w:rPr>
                <w:b/>
                <w:sz w:val="22"/>
              </w:rPr>
              <w:t>Kontobezeichnung</w:t>
            </w:r>
          </w:p>
        </w:tc>
        <w:tc>
          <w:tcPr>
            <w:tcW w:w="2303" w:type="dxa"/>
            <w:shd w:val="clear" w:color="auto" w:fill="D9D9D9" w:themeFill="background1" w:themeFillShade="D9"/>
          </w:tcPr>
          <w:p w:rsidR="00DA0D41" w:rsidRPr="00191AB3" w:rsidRDefault="00DA0D41" w:rsidP="00271E88">
            <w:pPr>
              <w:rPr>
                <w:b/>
                <w:sz w:val="22"/>
              </w:rPr>
            </w:pPr>
            <w:r w:rsidRPr="00191AB3">
              <w:rPr>
                <w:b/>
                <w:sz w:val="22"/>
              </w:rPr>
              <w:t>Soll</w:t>
            </w:r>
          </w:p>
        </w:tc>
        <w:tc>
          <w:tcPr>
            <w:tcW w:w="2303" w:type="dxa"/>
            <w:shd w:val="clear" w:color="auto" w:fill="D9D9D9" w:themeFill="background1" w:themeFillShade="D9"/>
          </w:tcPr>
          <w:p w:rsidR="00DA0D41" w:rsidRPr="00191AB3" w:rsidRDefault="00DA0D41" w:rsidP="00271E88">
            <w:pPr>
              <w:rPr>
                <w:b/>
                <w:sz w:val="22"/>
              </w:rPr>
            </w:pPr>
            <w:r w:rsidRPr="00191AB3">
              <w:rPr>
                <w:b/>
                <w:sz w:val="22"/>
              </w:rPr>
              <w:t>Haben</w:t>
            </w:r>
          </w:p>
        </w:tc>
      </w:tr>
      <w:tr w:rsidR="00DA0D41" w:rsidRPr="00191AB3" w:rsidTr="00271E88">
        <w:tc>
          <w:tcPr>
            <w:tcW w:w="1026" w:type="dxa"/>
          </w:tcPr>
          <w:p w:rsidR="00DA0D41" w:rsidRPr="00191AB3" w:rsidRDefault="00DA0D41" w:rsidP="00271E88">
            <w:pPr>
              <w:rPr>
                <w:sz w:val="22"/>
              </w:rPr>
            </w:pPr>
            <w:r w:rsidRPr="00191AB3">
              <w:rPr>
                <w:sz w:val="22"/>
              </w:rPr>
              <w:t>0400</w:t>
            </w:r>
          </w:p>
        </w:tc>
        <w:tc>
          <w:tcPr>
            <w:tcW w:w="3647" w:type="dxa"/>
          </w:tcPr>
          <w:p w:rsidR="00DA0D41" w:rsidRPr="00191AB3" w:rsidRDefault="00DA0D41" w:rsidP="00271E88">
            <w:pPr>
              <w:rPr>
                <w:sz w:val="22"/>
              </w:rPr>
            </w:pPr>
            <w:r w:rsidRPr="00191AB3">
              <w:rPr>
                <w:sz w:val="22"/>
              </w:rPr>
              <w:t>Maschinen</w:t>
            </w:r>
          </w:p>
        </w:tc>
        <w:tc>
          <w:tcPr>
            <w:tcW w:w="2303" w:type="dxa"/>
          </w:tcPr>
          <w:p w:rsidR="00DA0D41" w:rsidRPr="00191AB3" w:rsidRDefault="00DA0D41" w:rsidP="00271E88">
            <w:pPr>
              <w:jc w:val="right"/>
              <w:rPr>
                <w:sz w:val="22"/>
              </w:rPr>
            </w:pPr>
            <w:r w:rsidRPr="00191AB3">
              <w:rPr>
                <w:sz w:val="22"/>
              </w:rPr>
              <w:t>5.270.000</w:t>
            </w:r>
            <w:r>
              <w:rPr>
                <w:sz w:val="22"/>
              </w:rPr>
              <w:t>,00</w:t>
            </w:r>
          </w:p>
        </w:tc>
        <w:tc>
          <w:tcPr>
            <w:tcW w:w="2303" w:type="dxa"/>
          </w:tcPr>
          <w:p w:rsidR="00DA0D41" w:rsidRPr="00191AB3" w:rsidRDefault="00DA0D41" w:rsidP="00271E88">
            <w:pPr>
              <w:jc w:val="right"/>
              <w:rPr>
                <w:sz w:val="22"/>
              </w:rPr>
            </w:pPr>
          </w:p>
        </w:tc>
      </w:tr>
      <w:tr w:rsidR="00DA0D41" w:rsidRPr="00191AB3" w:rsidTr="00271E88">
        <w:tc>
          <w:tcPr>
            <w:tcW w:w="1026" w:type="dxa"/>
          </w:tcPr>
          <w:p w:rsidR="00DA0D41" w:rsidRPr="00191AB3" w:rsidRDefault="00DA0D41" w:rsidP="00271E88">
            <w:pPr>
              <w:rPr>
                <w:sz w:val="22"/>
              </w:rPr>
            </w:pPr>
            <w:r w:rsidRPr="00191AB3">
              <w:rPr>
                <w:sz w:val="22"/>
              </w:rPr>
              <w:t>0640</w:t>
            </w:r>
          </w:p>
        </w:tc>
        <w:tc>
          <w:tcPr>
            <w:tcW w:w="3647" w:type="dxa"/>
          </w:tcPr>
          <w:p w:rsidR="00DA0D41" w:rsidRPr="00191AB3" w:rsidRDefault="00DA0D41" w:rsidP="00271E88">
            <w:pPr>
              <w:rPr>
                <w:sz w:val="22"/>
              </w:rPr>
            </w:pPr>
            <w:r w:rsidRPr="00191AB3">
              <w:rPr>
                <w:sz w:val="22"/>
              </w:rPr>
              <w:t>LKW</w:t>
            </w:r>
          </w:p>
        </w:tc>
        <w:tc>
          <w:tcPr>
            <w:tcW w:w="2303" w:type="dxa"/>
          </w:tcPr>
          <w:p w:rsidR="00DA0D41" w:rsidRPr="00191AB3" w:rsidRDefault="00DA0D41" w:rsidP="00271E88">
            <w:pPr>
              <w:jc w:val="right"/>
              <w:rPr>
                <w:sz w:val="22"/>
              </w:rPr>
            </w:pPr>
            <w:r w:rsidRPr="00191AB3">
              <w:rPr>
                <w:sz w:val="22"/>
              </w:rPr>
              <w:t>35.750</w:t>
            </w:r>
            <w:r>
              <w:rPr>
                <w:sz w:val="22"/>
              </w:rPr>
              <w:t>,00</w:t>
            </w:r>
          </w:p>
        </w:tc>
        <w:tc>
          <w:tcPr>
            <w:tcW w:w="2303" w:type="dxa"/>
          </w:tcPr>
          <w:p w:rsidR="00DA0D41" w:rsidRPr="00191AB3" w:rsidRDefault="00DA0D41" w:rsidP="00271E88">
            <w:pPr>
              <w:jc w:val="right"/>
              <w:rPr>
                <w:sz w:val="22"/>
              </w:rPr>
            </w:pPr>
          </w:p>
        </w:tc>
      </w:tr>
      <w:tr w:rsidR="00DA0D41" w:rsidRPr="00191AB3" w:rsidTr="00271E88">
        <w:tc>
          <w:tcPr>
            <w:tcW w:w="1026" w:type="dxa"/>
          </w:tcPr>
          <w:p w:rsidR="00DA0D41" w:rsidRPr="00191AB3" w:rsidRDefault="00DA0D41" w:rsidP="00271E88">
            <w:pPr>
              <w:rPr>
                <w:sz w:val="22"/>
              </w:rPr>
            </w:pPr>
            <w:r w:rsidRPr="00191AB3">
              <w:rPr>
                <w:sz w:val="22"/>
              </w:rPr>
              <w:t>0660</w:t>
            </w:r>
          </w:p>
        </w:tc>
        <w:tc>
          <w:tcPr>
            <w:tcW w:w="3647" w:type="dxa"/>
          </w:tcPr>
          <w:p w:rsidR="00DA0D41" w:rsidRPr="00191AB3" w:rsidRDefault="00DA0D41" w:rsidP="00271E88">
            <w:pPr>
              <w:rPr>
                <w:sz w:val="22"/>
              </w:rPr>
            </w:pPr>
            <w:r w:rsidRPr="00191AB3">
              <w:rPr>
                <w:sz w:val="22"/>
              </w:rPr>
              <w:t>Betriebs- und Geschäftsausstattung</w:t>
            </w:r>
          </w:p>
        </w:tc>
        <w:tc>
          <w:tcPr>
            <w:tcW w:w="2303" w:type="dxa"/>
          </w:tcPr>
          <w:p w:rsidR="00DA0D41" w:rsidRPr="00191AB3" w:rsidRDefault="00DA0D41" w:rsidP="00271E88">
            <w:pPr>
              <w:jc w:val="right"/>
              <w:rPr>
                <w:sz w:val="22"/>
              </w:rPr>
            </w:pPr>
            <w:r w:rsidRPr="00191AB3">
              <w:rPr>
                <w:sz w:val="22"/>
              </w:rPr>
              <w:t>18.350</w:t>
            </w:r>
            <w:r>
              <w:rPr>
                <w:sz w:val="22"/>
              </w:rPr>
              <w:t>,00</w:t>
            </w:r>
          </w:p>
        </w:tc>
        <w:tc>
          <w:tcPr>
            <w:tcW w:w="2303" w:type="dxa"/>
          </w:tcPr>
          <w:p w:rsidR="00DA0D41" w:rsidRPr="00191AB3" w:rsidRDefault="00DA0D41" w:rsidP="00271E88">
            <w:pPr>
              <w:jc w:val="right"/>
              <w:rPr>
                <w:sz w:val="22"/>
              </w:rPr>
            </w:pPr>
          </w:p>
        </w:tc>
      </w:tr>
      <w:tr w:rsidR="00DA0D41" w:rsidRPr="00191AB3" w:rsidTr="00271E88">
        <w:tc>
          <w:tcPr>
            <w:tcW w:w="1026" w:type="dxa"/>
          </w:tcPr>
          <w:p w:rsidR="00DA0D41" w:rsidRPr="00191AB3" w:rsidRDefault="00DA0D41" w:rsidP="00271E88">
            <w:pPr>
              <w:rPr>
                <w:sz w:val="22"/>
              </w:rPr>
            </w:pPr>
            <w:r w:rsidRPr="00191AB3">
              <w:rPr>
                <w:sz w:val="22"/>
              </w:rPr>
              <w:t>1602</w:t>
            </w:r>
          </w:p>
        </w:tc>
        <w:tc>
          <w:tcPr>
            <w:tcW w:w="3647" w:type="dxa"/>
          </w:tcPr>
          <w:p w:rsidR="00DA0D41" w:rsidRPr="00191AB3" w:rsidRDefault="00DA0D41" w:rsidP="00271E88">
            <w:pPr>
              <w:rPr>
                <w:sz w:val="22"/>
              </w:rPr>
            </w:pPr>
            <w:r w:rsidRPr="00191AB3">
              <w:rPr>
                <w:sz w:val="22"/>
              </w:rPr>
              <w:t>Warenvorrat Plüschtier</w:t>
            </w:r>
          </w:p>
        </w:tc>
        <w:tc>
          <w:tcPr>
            <w:tcW w:w="2303" w:type="dxa"/>
          </w:tcPr>
          <w:p w:rsidR="00DA0D41" w:rsidRPr="00191AB3" w:rsidRDefault="00DA0D41" w:rsidP="00271E88">
            <w:pPr>
              <w:jc w:val="right"/>
              <w:rPr>
                <w:sz w:val="22"/>
              </w:rPr>
            </w:pPr>
            <w:r w:rsidRPr="00191AB3">
              <w:rPr>
                <w:sz w:val="22"/>
              </w:rPr>
              <w:t>12.000</w:t>
            </w:r>
            <w:r>
              <w:rPr>
                <w:sz w:val="22"/>
              </w:rPr>
              <w:t>,00</w:t>
            </w:r>
          </w:p>
        </w:tc>
        <w:tc>
          <w:tcPr>
            <w:tcW w:w="2303" w:type="dxa"/>
          </w:tcPr>
          <w:p w:rsidR="00DA0D41" w:rsidRPr="00191AB3" w:rsidRDefault="00DA0D41" w:rsidP="00271E88">
            <w:pPr>
              <w:jc w:val="right"/>
              <w:rPr>
                <w:sz w:val="22"/>
              </w:rPr>
            </w:pPr>
          </w:p>
        </w:tc>
      </w:tr>
      <w:tr w:rsidR="00DA0D41" w:rsidRPr="00191AB3" w:rsidTr="00271E88">
        <w:tc>
          <w:tcPr>
            <w:tcW w:w="1026" w:type="dxa"/>
          </w:tcPr>
          <w:p w:rsidR="00DA0D41" w:rsidRPr="00191AB3" w:rsidRDefault="00DA0D41" w:rsidP="00271E88">
            <w:pPr>
              <w:rPr>
                <w:sz w:val="22"/>
              </w:rPr>
            </w:pPr>
            <w:r w:rsidRPr="00191AB3">
              <w:rPr>
                <w:sz w:val="22"/>
              </w:rPr>
              <w:t>2080</w:t>
            </w:r>
          </w:p>
        </w:tc>
        <w:tc>
          <w:tcPr>
            <w:tcW w:w="3647" w:type="dxa"/>
          </w:tcPr>
          <w:p w:rsidR="00DA0D41" w:rsidRPr="00191AB3" w:rsidRDefault="00DA0D41" w:rsidP="00271E88">
            <w:pPr>
              <w:rPr>
                <w:sz w:val="22"/>
              </w:rPr>
            </w:pPr>
            <w:r w:rsidRPr="00191AB3">
              <w:rPr>
                <w:sz w:val="22"/>
              </w:rPr>
              <w:t>Einzelwertberichtigungen</w:t>
            </w:r>
          </w:p>
        </w:tc>
        <w:tc>
          <w:tcPr>
            <w:tcW w:w="2303" w:type="dxa"/>
          </w:tcPr>
          <w:p w:rsidR="00DA0D41" w:rsidRPr="00191AB3" w:rsidRDefault="00DA0D41" w:rsidP="00271E88">
            <w:pPr>
              <w:jc w:val="right"/>
              <w:rPr>
                <w:sz w:val="22"/>
              </w:rPr>
            </w:pPr>
          </w:p>
        </w:tc>
        <w:tc>
          <w:tcPr>
            <w:tcW w:w="2303" w:type="dxa"/>
          </w:tcPr>
          <w:p w:rsidR="00DA0D41" w:rsidRPr="00191AB3" w:rsidRDefault="00DA0D41" w:rsidP="00271E88">
            <w:pPr>
              <w:jc w:val="right"/>
              <w:rPr>
                <w:sz w:val="22"/>
              </w:rPr>
            </w:pPr>
            <w:r w:rsidRPr="00191AB3">
              <w:rPr>
                <w:sz w:val="22"/>
              </w:rPr>
              <w:t>4.000</w:t>
            </w:r>
            <w:r>
              <w:rPr>
                <w:sz w:val="22"/>
              </w:rPr>
              <w:t>,00</w:t>
            </w:r>
          </w:p>
        </w:tc>
      </w:tr>
      <w:tr w:rsidR="00DA0D41" w:rsidRPr="00191AB3" w:rsidTr="00271E88">
        <w:tc>
          <w:tcPr>
            <w:tcW w:w="1026" w:type="dxa"/>
          </w:tcPr>
          <w:p w:rsidR="00DA0D41" w:rsidRPr="00191AB3" w:rsidRDefault="00DA0D41" w:rsidP="00271E88">
            <w:pPr>
              <w:rPr>
                <w:sz w:val="22"/>
              </w:rPr>
            </w:pPr>
            <w:r w:rsidRPr="00191AB3">
              <w:rPr>
                <w:sz w:val="22"/>
              </w:rPr>
              <w:t>2090</w:t>
            </w:r>
          </w:p>
        </w:tc>
        <w:tc>
          <w:tcPr>
            <w:tcW w:w="3647" w:type="dxa"/>
          </w:tcPr>
          <w:p w:rsidR="00DA0D41" w:rsidRPr="00191AB3" w:rsidRDefault="00DA0D41" w:rsidP="00271E88">
            <w:pPr>
              <w:rPr>
                <w:sz w:val="22"/>
              </w:rPr>
            </w:pPr>
            <w:r w:rsidRPr="00191AB3">
              <w:rPr>
                <w:sz w:val="22"/>
              </w:rPr>
              <w:t>Pauschalwertberichtigungen</w:t>
            </w:r>
          </w:p>
        </w:tc>
        <w:tc>
          <w:tcPr>
            <w:tcW w:w="2303" w:type="dxa"/>
          </w:tcPr>
          <w:p w:rsidR="00DA0D41" w:rsidRPr="00191AB3" w:rsidRDefault="00DA0D41" w:rsidP="00271E88">
            <w:pPr>
              <w:jc w:val="right"/>
              <w:rPr>
                <w:sz w:val="22"/>
              </w:rPr>
            </w:pPr>
          </w:p>
        </w:tc>
        <w:tc>
          <w:tcPr>
            <w:tcW w:w="2303" w:type="dxa"/>
          </w:tcPr>
          <w:p w:rsidR="00DA0D41" w:rsidRPr="00191AB3" w:rsidRDefault="00DA0D41" w:rsidP="00271E88">
            <w:pPr>
              <w:jc w:val="right"/>
              <w:rPr>
                <w:sz w:val="22"/>
              </w:rPr>
            </w:pPr>
            <w:r w:rsidRPr="00191AB3">
              <w:rPr>
                <w:sz w:val="22"/>
              </w:rPr>
              <w:t>7.000</w:t>
            </w:r>
            <w:r>
              <w:rPr>
                <w:sz w:val="22"/>
              </w:rPr>
              <w:t>,00</w:t>
            </w:r>
          </w:p>
        </w:tc>
      </w:tr>
      <w:tr w:rsidR="00DA0D41" w:rsidRPr="00191AB3" w:rsidTr="00271E88">
        <w:tc>
          <w:tcPr>
            <w:tcW w:w="1026" w:type="dxa"/>
          </w:tcPr>
          <w:p w:rsidR="00DA0D41" w:rsidRPr="00191AB3" w:rsidRDefault="00DA0D41" w:rsidP="00271E88">
            <w:pPr>
              <w:rPr>
                <w:sz w:val="22"/>
              </w:rPr>
            </w:pPr>
            <w:r w:rsidRPr="00191AB3">
              <w:rPr>
                <w:sz w:val="22"/>
              </w:rPr>
              <w:t>2300</w:t>
            </w:r>
          </w:p>
        </w:tc>
        <w:tc>
          <w:tcPr>
            <w:tcW w:w="3647" w:type="dxa"/>
          </w:tcPr>
          <w:p w:rsidR="00DA0D41" w:rsidRPr="00191AB3" w:rsidRDefault="00DA0D41" w:rsidP="00271E88">
            <w:pPr>
              <w:rPr>
                <w:sz w:val="22"/>
              </w:rPr>
            </w:pPr>
            <w:r w:rsidRPr="00191AB3">
              <w:rPr>
                <w:sz w:val="22"/>
              </w:rPr>
              <w:t>Forderungen aus Lieferungen und Leistungen</w:t>
            </w:r>
          </w:p>
        </w:tc>
        <w:tc>
          <w:tcPr>
            <w:tcW w:w="2303" w:type="dxa"/>
          </w:tcPr>
          <w:p w:rsidR="00DA0D41" w:rsidRPr="00191AB3" w:rsidRDefault="00DA0D41" w:rsidP="00271E88">
            <w:pPr>
              <w:jc w:val="right"/>
              <w:rPr>
                <w:sz w:val="22"/>
              </w:rPr>
            </w:pPr>
            <w:r w:rsidRPr="00191AB3">
              <w:rPr>
                <w:sz w:val="22"/>
              </w:rPr>
              <w:t>1.543.400</w:t>
            </w:r>
            <w:r>
              <w:rPr>
                <w:sz w:val="22"/>
              </w:rPr>
              <w:t>,00</w:t>
            </w:r>
          </w:p>
        </w:tc>
        <w:tc>
          <w:tcPr>
            <w:tcW w:w="2303" w:type="dxa"/>
          </w:tcPr>
          <w:p w:rsidR="00DA0D41" w:rsidRPr="00191AB3" w:rsidRDefault="00DA0D41" w:rsidP="00271E88">
            <w:pPr>
              <w:jc w:val="right"/>
              <w:rPr>
                <w:sz w:val="22"/>
              </w:rPr>
            </w:pPr>
          </w:p>
        </w:tc>
      </w:tr>
      <w:tr w:rsidR="00DA0D41" w:rsidRPr="00191AB3" w:rsidTr="00271E88">
        <w:tc>
          <w:tcPr>
            <w:tcW w:w="1026" w:type="dxa"/>
          </w:tcPr>
          <w:p w:rsidR="00DA0D41" w:rsidRPr="00191AB3" w:rsidRDefault="00DA0D41" w:rsidP="00271E88">
            <w:pPr>
              <w:rPr>
                <w:sz w:val="22"/>
              </w:rPr>
            </w:pPr>
            <w:r w:rsidRPr="00191AB3">
              <w:rPr>
                <w:sz w:val="22"/>
              </w:rPr>
              <w:t>3060</w:t>
            </w:r>
          </w:p>
        </w:tc>
        <w:tc>
          <w:tcPr>
            <w:tcW w:w="3647" w:type="dxa"/>
          </w:tcPr>
          <w:p w:rsidR="00DA0D41" w:rsidRPr="00191AB3" w:rsidRDefault="00DA0D41" w:rsidP="00271E88">
            <w:pPr>
              <w:rPr>
                <w:sz w:val="22"/>
              </w:rPr>
            </w:pPr>
            <w:r w:rsidRPr="00191AB3">
              <w:rPr>
                <w:sz w:val="22"/>
              </w:rPr>
              <w:t>Rückstellungen für Schadenersatzverpflichtungen</w:t>
            </w:r>
          </w:p>
        </w:tc>
        <w:tc>
          <w:tcPr>
            <w:tcW w:w="2303" w:type="dxa"/>
          </w:tcPr>
          <w:p w:rsidR="00DA0D41" w:rsidRPr="00191AB3" w:rsidRDefault="00DA0D41" w:rsidP="00271E88">
            <w:pPr>
              <w:jc w:val="right"/>
              <w:rPr>
                <w:sz w:val="22"/>
              </w:rPr>
            </w:pPr>
          </w:p>
        </w:tc>
        <w:tc>
          <w:tcPr>
            <w:tcW w:w="2303" w:type="dxa"/>
          </w:tcPr>
          <w:p w:rsidR="00DA0D41" w:rsidRPr="00191AB3" w:rsidRDefault="00DA0D41" w:rsidP="00271E88">
            <w:pPr>
              <w:jc w:val="right"/>
              <w:rPr>
                <w:sz w:val="22"/>
              </w:rPr>
            </w:pPr>
            <w:r w:rsidRPr="00191AB3">
              <w:rPr>
                <w:sz w:val="22"/>
              </w:rPr>
              <w:t>6.000</w:t>
            </w:r>
            <w:r>
              <w:rPr>
                <w:sz w:val="22"/>
              </w:rPr>
              <w:t>,00</w:t>
            </w:r>
          </w:p>
          <w:p w:rsidR="00DA0D41" w:rsidRPr="00191AB3" w:rsidRDefault="00DA0D41" w:rsidP="00271E88">
            <w:pPr>
              <w:jc w:val="right"/>
              <w:rPr>
                <w:sz w:val="22"/>
              </w:rPr>
            </w:pPr>
          </w:p>
        </w:tc>
      </w:tr>
      <w:tr w:rsidR="00DA0D41" w:rsidRPr="00191AB3" w:rsidTr="00271E88">
        <w:tc>
          <w:tcPr>
            <w:tcW w:w="1026" w:type="dxa"/>
          </w:tcPr>
          <w:p w:rsidR="00DA0D41" w:rsidRPr="00191AB3" w:rsidRDefault="00DA0D41" w:rsidP="00271E88">
            <w:pPr>
              <w:rPr>
                <w:sz w:val="22"/>
              </w:rPr>
            </w:pPr>
            <w:r w:rsidRPr="00191AB3">
              <w:rPr>
                <w:sz w:val="22"/>
              </w:rPr>
              <w:t>3115</w:t>
            </w:r>
          </w:p>
        </w:tc>
        <w:tc>
          <w:tcPr>
            <w:tcW w:w="3647" w:type="dxa"/>
          </w:tcPr>
          <w:p w:rsidR="00DA0D41" w:rsidRPr="00191AB3" w:rsidRDefault="00DA0D41" w:rsidP="00271E88">
            <w:pPr>
              <w:rPr>
                <w:sz w:val="22"/>
              </w:rPr>
            </w:pPr>
            <w:r w:rsidRPr="00191AB3">
              <w:rPr>
                <w:sz w:val="22"/>
              </w:rPr>
              <w:t>PSK Darlehen</w:t>
            </w:r>
          </w:p>
        </w:tc>
        <w:tc>
          <w:tcPr>
            <w:tcW w:w="2303" w:type="dxa"/>
          </w:tcPr>
          <w:p w:rsidR="00DA0D41" w:rsidRPr="00191AB3" w:rsidRDefault="00DA0D41" w:rsidP="00271E88">
            <w:pPr>
              <w:jc w:val="right"/>
              <w:rPr>
                <w:sz w:val="22"/>
              </w:rPr>
            </w:pPr>
          </w:p>
        </w:tc>
        <w:tc>
          <w:tcPr>
            <w:tcW w:w="2303" w:type="dxa"/>
          </w:tcPr>
          <w:p w:rsidR="00DA0D41" w:rsidRPr="00191AB3" w:rsidRDefault="00DA0D41" w:rsidP="00271E88">
            <w:pPr>
              <w:jc w:val="right"/>
              <w:rPr>
                <w:sz w:val="22"/>
              </w:rPr>
            </w:pPr>
            <w:r w:rsidRPr="00191AB3">
              <w:rPr>
                <w:sz w:val="22"/>
              </w:rPr>
              <w:t>89.000</w:t>
            </w:r>
            <w:r>
              <w:rPr>
                <w:sz w:val="22"/>
              </w:rPr>
              <w:t>,00</w:t>
            </w:r>
          </w:p>
        </w:tc>
      </w:tr>
    </w:tbl>
    <w:p w:rsidR="00DA0D41" w:rsidRDefault="00DA0D41" w:rsidP="00DA0D41">
      <w:pPr>
        <w:rPr>
          <w:b/>
          <w:sz w:val="22"/>
        </w:rPr>
      </w:pPr>
    </w:p>
    <w:p w:rsidR="00DA0D41" w:rsidRDefault="00DA0D41" w:rsidP="00DA0D41">
      <w:pPr>
        <w:rPr>
          <w:b/>
          <w:sz w:val="22"/>
        </w:rPr>
      </w:pPr>
      <w:r>
        <w:rPr>
          <w:b/>
          <w:sz w:val="22"/>
        </w:rPr>
        <w:br w:type="page"/>
      </w:r>
    </w:p>
    <w:p w:rsidR="00DA0D41" w:rsidRPr="00B56F29" w:rsidRDefault="00DA0D41" w:rsidP="00DA0D41">
      <w:pPr>
        <w:pStyle w:val="Listenabsatz"/>
        <w:numPr>
          <w:ilvl w:val="0"/>
          <w:numId w:val="7"/>
        </w:numPr>
        <w:spacing w:line="276" w:lineRule="auto"/>
        <w:rPr>
          <w:sz w:val="22"/>
        </w:rPr>
      </w:pPr>
      <w:r w:rsidRPr="00B56F29">
        <w:rPr>
          <w:sz w:val="22"/>
        </w:rPr>
        <w:lastRenderedPageBreak/>
        <w:t>Maschinen</w:t>
      </w:r>
      <w:r>
        <w:rPr>
          <w:sz w:val="22"/>
        </w:rPr>
        <w:t xml:space="preserve"> /7</w:t>
      </w:r>
    </w:p>
    <w:p w:rsidR="00DA0D41" w:rsidRPr="006D5D46" w:rsidRDefault="00DA0D41" w:rsidP="00DA0D41">
      <w:pPr>
        <w:pStyle w:val="Listenabsatz"/>
        <w:spacing w:line="276" w:lineRule="auto"/>
        <w:ind w:left="567"/>
        <w:rPr>
          <w:b/>
        </w:rPr>
      </w:pPr>
    </w:p>
    <w:p w:rsidR="00DA0D41" w:rsidRDefault="00DA0D41" w:rsidP="00DA0D41">
      <w:pPr>
        <w:spacing w:line="276" w:lineRule="auto"/>
        <w:jc w:val="both"/>
        <w:rPr>
          <w:sz w:val="22"/>
        </w:rPr>
      </w:pPr>
      <w:r w:rsidRPr="00191AB3">
        <w:rPr>
          <w:sz w:val="22"/>
        </w:rPr>
        <w:t xml:space="preserve">Auch in diesem Jahr wurden wieder rund 2 Mio. EUR in die Sanierung und Erweiterung des Freizeitparkes investiert, um alte und neue Kunden in den Freizeitpark zu locken. </w:t>
      </w:r>
    </w:p>
    <w:p w:rsidR="00DA0D41" w:rsidRPr="00191AB3" w:rsidRDefault="00DA0D41" w:rsidP="00DA0D41">
      <w:pPr>
        <w:spacing w:line="276" w:lineRule="auto"/>
        <w:jc w:val="both"/>
        <w:rPr>
          <w:sz w:val="22"/>
        </w:rPr>
      </w:pPr>
    </w:p>
    <w:p w:rsidR="00DA0D41" w:rsidRDefault="00DA0D41" w:rsidP="00DA0D41">
      <w:pPr>
        <w:pStyle w:val="Listenabsatz"/>
        <w:numPr>
          <w:ilvl w:val="0"/>
          <w:numId w:val="1"/>
        </w:numPr>
        <w:spacing w:after="200" w:line="276" w:lineRule="auto"/>
        <w:jc w:val="both"/>
        <w:rPr>
          <w:sz w:val="22"/>
        </w:rPr>
      </w:pPr>
      <w:r w:rsidRPr="00191AB3">
        <w:rPr>
          <w:sz w:val="22"/>
        </w:rPr>
        <w:t>Größte Investition war die Errichtung einer neuen Attraktion "</w:t>
      </w:r>
      <w:r w:rsidRPr="00191AB3">
        <w:rPr>
          <w:b/>
          <w:sz w:val="22"/>
        </w:rPr>
        <w:t>Der fliegende Holländer</w:t>
      </w:r>
      <w:r w:rsidRPr="00191AB3">
        <w:rPr>
          <w:sz w:val="22"/>
        </w:rPr>
        <w:t xml:space="preserve">" mit einem </w:t>
      </w:r>
      <w:r w:rsidRPr="00191AB3">
        <w:rPr>
          <w:b/>
          <w:sz w:val="22"/>
        </w:rPr>
        <w:t>Anschaffungswert</w:t>
      </w:r>
      <w:r w:rsidRPr="00191AB3">
        <w:rPr>
          <w:sz w:val="22"/>
        </w:rPr>
        <w:t xml:space="preserve"> von 1,54 Mio.</w:t>
      </w:r>
      <w:r>
        <w:rPr>
          <w:sz w:val="22"/>
        </w:rPr>
        <w:t xml:space="preserve"> </w:t>
      </w:r>
      <w:r w:rsidRPr="00191AB3">
        <w:rPr>
          <w:sz w:val="22"/>
        </w:rPr>
        <w:t>EUR</w:t>
      </w:r>
      <w:r>
        <w:rPr>
          <w:sz w:val="22"/>
        </w:rPr>
        <w:t>.</w:t>
      </w:r>
      <w:r w:rsidRPr="00191AB3">
        <w:rPr>
          <w:sz w:val="22"/>
        </w:rPr>
        <w:t xml:space="preserve"> Die Inbetrieb</w:t>
      </w:r>
      <w:r>
        <w:rPr>
          <w:sz w:val="22"/>
        </w:rPr>
        <w:t>nahme erfolgte am 3.9. d</w:t>
      </w:r>
      <w:r w:rsidRPr="00191AB3">
        <w:rPr>
          <w:sz w:val="22"/>
        </w:rPr>
        <w:t>.</w:t>
      </w:r>
      <w:r>
        <w:rPr>
          <w:sz w:val="22"/>
        </w:rPr>
        <w:t xml:space="preserve"> J.</w:t>
      </w:r>
      <w:r w:rsidRPr="00191AB3">
        <w:rPr>
          <w:sz w:val="22"/>
        </w:rPr>
        <w:t xml:space="preserve"> Die Nutzungsdauer beträgt 15 Jahre. </w:t>
      </w:r>
      <w:r>
        <w:rPr>
          <w:sz w:val="22"/>
        </w:rPr>
        <w:br/>
      </w:r>
      <w:r>
        <w:rPr>
          <w:sz w:val="22"/>
        </w:rPr>
        <w:br/>
      </w:r>
      <w:r w:rsidRPr="00191AB3">
        <w:rPr>
          <w:sz w:val="22"/>
        </w:rPr>
        <w:t xml:space="preserve">Die Rechnung des Baumeisters </w:t>
      </w:r>
      <w:proofErr w:type="spellStart"/>
      <w:r w:rsidRPr="00191AB3">
        <w:rPr>
          <w:sz w:val="22"/>
        </w:rPr>
        <w:t>Luggi</w:t>
      </w:r>
      <w:proofErr w:type="spellEnd"/>
      <w:r w:rsidRPr="00191AB3">
        <w:rPr>
          <w:sz w:val="22"/>
        </w:rPr>
        <w:t xml:space="preserve"> (30232) vom 3.9.2012 wurde </w:t>
      </w:r>
      <w:r>
        <w:rPr>
          <w:sz w:val="22"/>
        </w:rPr>
        <w:t>ordnungsgemäß verbucht.</w:t>
      </w:r>
    </w:p>
    <w:p w:rsidR="00DA0D41" w:rsidRPr="00191AB3" w:rsidRDefault="00DA0D41" w:rsidP="00DA0D41">
      <w:pPr>
        <w:pStyle w:val="Listenabsatz"/>
        <w:spacing w:after="200" w:line="276" w:lineRule="auto"/>
        <w:jc w:val="both"/>
        <w:rPr>
          <w:sz w:val="22"/>
        </w:rPr>
      </w:pPr>
    </w:p>
    <w:p w:rsidR="00DA0D41" w:rsidRPr="00191AB3" w:rsidRDefault="00DA0D41" w:rsidP="00DA0D41">
      <w:pPr>
        <w:pStyle w:val="Listenabsatz"/>
        <w:numPr>
          <w:ilvl w:val="0"/>
          <w:numId w:val="1"/>
        </w:numPr>
        <w:spacing w:after="200" w:line="276" w:lineRule="auto"/>
        <w:jc w:val="both"/>
        <w:rPr>
          <w:sz w:val="22"/>
          <w:szCs w:val="22"/>
        </w:rPr>
      </w:pPr>
      <w:r w:rsidRPr="00191AB3">
        <w:rPr>
          <w:sz w:val="22"/>
          <w:szCs w:val="22"/>
        </w:rPr>
        <w:t>Eine der Lieblingsattraktionen, "</w:t>
      </w:r>
      <w:r w:rsidRPr="00191AB3">
        <w:rPr>
          <w:b/>
          <w:sz w:val="22"/>
          <w:szCs w:val="22"/>
        </w:rPr>
        <w:t>Der Seedrache</w:t>
      </w:r>
      <w:r w:rsidRPr="00191AB3">
        <w:rPr>
          <w:sz w:val="22"/>
          <w:szCs w:val="22"/>
        </w:rPr>
        <w:t>", wurde rechtzeitig vor dem Saisonstart (1.4.</w:t>
      </w:r>
      <w:proofErr w:type="gramStart"/>
      <w:r w:rsidRPr="00191AB3">
        <w:rPr>
          <w:sz w:val="22"/>
          <w:szCs w:val="22"/>
        </w:rPr>
        <w:t>20</w:t>
      </w:r>
      <w:r>
        <w:rPr>
          <w:sz w:val="22"/>
          <w:szCs w:val="22"/>
        </w:rPr>
        <w:t>..</w:t>
      </w:r>
      <w:proofErr w:type="gramEnd"/>
      <w:r w:rsidRPr="00191AB3">
        <w:rPr>
          <w:sz w:val="22"/>
          <w:szCs w:val="22"/>
        </w:rPr>
        <w:t xml:space="preserve">) um 120.000,00 EUR </w:t>
      </w:r>
      <w:r w:rsidRPr="00191AB3">
        <w:rPr>
          <w:b/>
          <w:sz w:val="22"/>
          <w:szCs w:val="22"/>
        </w:rPr>
        <w:t>ausgebaut</w:t>
      </w:r>
      <w:r w:rsidRPr="00191AB3">
        <w:rPr>
          <w:sz w:val="22"/>
          <w:szCs w:val="22"/>
        </w:rPr>
        <w:t>, sodass von nun an gleichzeitig 50 anstatt von 30 Personen die Attraktion nützen können.</w:t>
      </w:r>
    </w:p>
    <w:p w:rsidR="00DA0D41" w:rsidRPr="000416B0" w:rsidRDefault="00DA0D41" w:rsidP="00DA0D41">
      <w:pPr>
        <w:spacing w:after="200" w:line="276" w:lineRule="auto"/>
        <w:ind w:left="360"/>
        <w:jc w:val="both"/>
        <w:rPr>
          <w:sz w:val="22"/>
          <w:szCs w:val="22"/>
        </w:rPr>
      </w:pPr>
      <w:r w:rsidRPr="000416B0">
        <w:rPr>
          <w:sz w:val="22"/>
          <w:szCs w:val="22"/>
        </w:rPr>
        <w:t>Der Anschaffungswert der Attraktion "Der Seedrache" betrug 750.000,00EUR.</w:t>
      </w:r>
      <w:r>
        <w:rPr>
          <w:sz w:val="22"/>
          <w:szCs w:val="22"/>
        </w:rPr>
        <w:t xml:space="preserve"> </w:t>
      </w:r>
      <w:r w:rsidRPr="000416B0">
        <w:rPr>
          <w:sz w:val="22"/>
          <w:szCs w:val="22"/>
        </w:rPr>
        <w:t xml:space="preserve">Die Nutzungsdauer beträgt 15 Jahre. Vor der Erweiterung war die Attraktion bereits 10 Jahre in </w:t>
      </w:r>
      <w:proofErr w:type="spellStart"/>
      <w:r w:rsidRPr="000416B0">
        <w:rPr>
          <w:sz w:val="22"/>
          <w:szCs w:val="22"/>
        </w:rPr>
        <w:t>Betrieb.Die</w:t>
      </w:r>
      <w:proofErr w:type="spellEnd"/>
      <w:r w:rsidRPr="000416B0">
        <w:rPr>
          <w:sz w:val="22"/>
          <w:szCs w:val="22"/>
        </w:rPr>
        <w:t xml:space="preserve"> Anschaffung wurde bereits verbucht.</w:t>
      </w:r>
    </w:p>
    <w:p w:rsidR="00DA0D41" w:rsidRPr="00191AB3" w:rsidRDefault="00DA0D41" w:rsidP="00DA0D41">
      <w:pPr>
        <w:pStyle w:val="Listenabsatz"/>
        <w:numPr>
          <w:ilvl w:val="0"/>
          <w:numId w:val="1"/>
        </w:numPr>
        <w:spacing w:after="200" w:line="276" w:lineRule="auto"/>
        <w:jc w:val="both"/>
        <w:rPr>
          <w:sz w:val="22"/>
          <w:szCs w:val="22"/>
        </w:rPr>
      </w:pPr>
      <w:r w:rsidRPr="00191AB3">
        <w:rPr>
          <w:sz w:val="22"/>
          <w:szCs w:val="22"/>
        </w:rPr>
        <w:t xml:space="preserve">Die </w:t>
      </w:r>
      <w:r w:rsidRPr="00191AB3">
        <w:rPr>
          <w:b/>
          <w:sz w:val="22"/>
          <w:szCs w:val="22"/>
        </w:rPr>
        <w:t>Abschreibung der restlichen Maschinen</w:t>
      </w:r>
      <w:r w:rsidRPr="00191AB3">
        <w:rPr>
          <w:sz w:val="22"/>
          <w:szCs w:val="22"/>
        </w:rPr>
        <w:t xml:space="preserve"> beträgt 980.000,00 EUR.</w:t>
      </w:r>
    </w:p>
    <w:p w:rsidR="00DA0D41" w:rsidRPr="00191AB3" w:rsidRDefault="00DA0D41" w:rsidP="00DA0D41">
      <w:pPr>
        <w:pStyle w:val="Listenabsatz"/>
        <w:spacing w:after="200" w:line="276" w:lineRule="auto"/>
        <w:jc w:val="both"/>
        <w:rPr>
          <w:sz w:val="22"/>
          <w:szCs w:val="22"/>
        </w:rPr>
      </w:pPr>
    </w:p>
    <w:p w:rsidR="00DA0D41" w:rsidRPr="00D75299" w:rsidRDefault="00DA0D41" w:rsidP="00DA0D41">
      <w:pPr>
        <w:pStyle w:val="Listenabsatz"/>
        <w:numPr>
          <w:ilvl w:val="0"/>
          <w:numId w:val="7"/>
        </w:numPr>
        <w:spacing w:line="276" w:lineRule="auto"/>
        <w:rPr>
          <w:sz w:val="22"/>
          <w:szCs w:val="22"/>
        </w:rPr>
      </w:pPr>
      <w:r w:rsidRPr="00D75299">
        <w:rPr>
          <w:sz w:val="22"/>
          <w:szCs w:val="22"/>
        </w:rPr>
        <w:t>Fuhrpark</w:t>
      </w:r>
      <w:r>
        <w:rPr>
          <w:sz w:val="22"/>
          <w:szCs w:val="22"/>
        </w:rPr>
        <w:t xml:space="preserve"> /8</w:t>
      </w:r>
    </w:p>
    <w:p w:rsidR="00DA0D41" w:rsidRPr="00D75299" w:rsidRDefault="00DA0D41" w:rsidP="00DA0D41">
      <w:pPr>
        <w:spacing w:line="276" w:lineRule="auto"/>
        <w:rPr>
          <w:b/>
          <w:szCs w:val="22"/>
        </w:rPr>
      </w:pPr>
    </w:p>
    <w:p w:rsidR="00DA0D41" w:rsidRPr="00191AB3" w:rsidRDefault="00DA0D41" w:rsidP="00DA0D41">
      <w:pPr>
        <w:spacing w:line="276" w:lineRule="auto"/>
        <w:jc w:val="both"/>
        <w:rPr>
          <w:sz w:val="22"/>
          <w:szCs w:val="22"/>
        </w:rPr>
      </w:pPr>
      <w:r w:rsidRPr="00191AB3">
        <w:rPr>
          <w:sz w:val="22"/>
          <w:szCs w:val="22"/>
        </w:rPr>
        <w:t>Insgesamt verfügt der Freizeitpark über 4 Nutzfahrzeuge für den Betrieb und die Wartung der Anlagen des Freizeitparks.</w:t>
      </w:r>
    </w:p>
    <w:p w:rsidR="00DA0D41" w:rsidRPr="00191AB3" w:rsidRDefault="00DA0D41" w:rsidP="00DA0D41">
      <w:pPr>
        <w:spacing w:line="276" w:lineRule="auto"/>
        <w:rPr>
          <w:sz w:val="22"/>
          <w:szCs w:val="22"/>
          <w:u w:val="single"/>
        </w:rPr>
      </w:pPr>
      <w:r w:rsidRPr="00191AB3">
        <w:rPr>
          <w:sz w:val="22"/>
          <w:szCs w:val="22"/>
          <w:u w:val="single"/>
        </w:rPr>
        <w:t>Verzeichnis der in Betrieb befindlichen Fahrzeuge per 1.1.</w:t>
      </w:r>
      <w:proofErr w:type="gramStart"/>
      <w:r w:rsidRPr="00191AB3">
        <w:rPr>
          <w:sz w:val="22"/>
          <w:szCs w:val="22"/>
          <w:u w:val="single"/>
        </w:rPr>
        <w:t>20</w:t>
      </w:r>
      <w:r>
        <w:rPr>
          <w:sz w:val="22"/>
          <w:szCs w:val="22"/>
          <w:u w:val="single"/>
        </w:rPr>
        <w:t>..</w:t>
      </w:r>
      <w:proofErr w:type="gramEnd"/>
      <w:r w:rsidRPr="00191AB3">
        <w:rPr>
          <w:sz w:val="22"/>
          <w:szCs w:val="22"/>
          <w:u w:val="single"/>
        </w:rPr>
        <w:t>:</w:t>
      </w:r>
    </w:p>
    <w:p w:rsidR="00DA0D41" w:rsidRPr="00191AB3" w:rsidRDefault="00DA0D41" w:rsidP="00DA0D41">
      <w:pPr>
        <w:spacing w:line="276" w:lineRule="auto"/>
        <w:rPr>
          <w:sz w:val="22"/>
          <w:szCs w:val="22"/>
          <w:u w:val="single"/>
        </w:rPr>
      </w:pPr>
    </w:p>
    <w:tbl>
      <w:tblPr>
        <w:tblStyle w:val="Tabellenraster"/>
        <w:tblW w:w="0" w:type="auto"/>
        <w:jc w:val="center"/>
        <w:tblLook w:val="04A0" w:firstRow="1" w:lastRow="0" w:firstColumn="1" w:lastColumn="0" w:noHBand="0" w:noVBand="1"/>
      </w:tblPr>
      <w:tblGrid>
        <w:gridCol w:w="2303"/>
        <w:gridCol w:w="1985"/>
        <w:gridCol w:w="1238"/>
        <w:gridCol w:w="2291"/>
      </w:tblGrid>
      <w:tr w:rsidR="00DA0D41" w:rsidRPr="00191AB3" w:rsidTr="00271E88">
        <w:trPr>
          <w:jc w:val="center"/>
        </w:trPr>
        <w:tc>
          <w:tcPr>
            <w:tcW w:w="2303" w:type="dxa"/>
            <w:shd w:val="clear" w:color="auto" w:fill="D9D9D9" w:themeFill="background1" w:themeFillShade="D9"/>
          </w:tcPr>
          <w:p w:rsidR="00DA0D41" w:rsidRPr="00191AB3" w:rsidRDefault="00DA0D41" w:rsidP="00271E88">
            <w:pPr>
              <w:spacing w:line="276" w:lineRule="auto"/>
              <w:jc w:val="center"/>
              <w:rPr>
                <w:b/>
                <w:sz w:val="22"/>
                <w:szCs w:val="22"/>
              </w:rPr>
            </w:pPr>
            <w:r w:rsidRPr="00191AB3">
              <w:rPr>
                <w:b/>
                <w:sz w:val="22"/>
                <w:szCs w:val="22"/>
              </w:rPr>
              <w:t>Fahrzeug</w:t>
            </w:r>
          </w:p>
        </w:tc>
        <w:tc>
          <w:tcPr>
            <w:tcW w:w="1985" w:type="dxa"/>
            <w:shd w:val="clear" w:color="auto" w:fill="D9D9D9" w:themeFill="background1" w:themeFillShade="D9"/>
          </w:tcPr>
          <w:p w:rsidR="00DA0D41" w:rsidRPr="00191AB3" w:rsidRDefault="00DA0D41" w:rsidP="00271E88">
            <w:pPr>
              <w:spacing w:line="276" w:lineRule="auto"/>
              <w:jc w:val="center"/>
              <w:rPr>
                <w:b/>
                <w:sz w:val="22"/>
                <w:szCs w:val="22"/>
              </w:rPr>
            </w:pPr>
            <w:r w:rsidRPr="00191AB3">
              <w:rPr>
                <w:b/>
                <w:sz w:val="22"/>
                <w:szCs w:val="22"/>
              </w:rPr>
              <w:t>AW in EUR</w:t>
            </w:r>
          </w:p>
        </w:tc>
        <w:tc>
          <w:tcPr>
            <w:tcW w:w="1238" w:type="dxa"/>
            <w:shd w:val="clear" w:color="auto" w:fill="D9D9D9" w:themeFill="background1" w:themeFillShade="D9"/>
          </w:tcPr>
          <w:p w:rsidR="00DA0D41" w:rsidRPr="00191AB3" w:rsidRDefault="00DA0D41" w:rsidP="00271E88">
            <w:pPr>
              <w:spacing w:line="276" w:lineRule="auto"/>
              <w:jc w:val="center"/>
              <w:rPr>
                <w:b/>
                <w:sz w:val="22"/>
                <w:szCs w:val="22"/>
              </w:rPr>
            </w:pPr>
            <w:r w:rsidRPr="00191AB3">
              <w:rPr>
                <w:b/>
                <w:sz w:val="22"/>
                <w:szCs w:val="22"/>
              </w:rPr>
              <w:t>ND</w:t>
            </w:r>
          </w:p>
        </w:tc>
        <w:tc>
          <w:tcPr>
            <w:tcW w:w="2291" w:type="dxa"/>
            <w:shd w:val="clear" w:color="auto" w:fill="D9D9D9" w:themeFill="background1" w:themeFillShade="D9"/>
          </w:tcPr>
          <w:p w:rsidR="00DA0D41" w:rsidRPr="00191AB3" w:rsidRDefault="00DA0D41" w:rsidP="00271E88">
            <w:pPr>
              <w:spacing w:line="276" w:lineRule="auto"/>
              <w:jc w:val="center"/>
              <w:rPr>
                <w:b/>
                <w:sz w:val="22"/>
                <w:szCs w:val="22"/>
              </w:rPr>
            </w:pPr>
            <w:r w:rsidRPr="00191AB3">
              <w:rPr>
                <w:b/>
                <w:sz w:val="22"/>
                <w:szCs w:val="22"/>
              </w:rPr>
              <w:t>Buchwert</w:t>
            </w:r>
            <w:r>
              <w:rPr>
                <w:b/>
                <w:sz w:val="22"/>
                <w:szCs w:val="22"/>
              </w:rPr>
              <w:t xml:space="preserve"> am </w:t>
            </w:r>
            <w:r w:rsidRPr="00191AB3">
              <w:rPr>
                <w:b/>
                <w:sz w:val="22"/>
                <w:szCs w:val="22"/>
              </w:rPr>
              <w:t>1.1.</w:t>
            </w:r>
            <w:proofErr w:type="gramStart"/>
            <w:r w:rsidRPr="00191AB3">
              <w:rPr>
                <w:b/>
                <w:sz w:val="22"/>
                <w:szCs w:val="22"/>
              </w:rPr>
              <w:t>20</w:t>
            </w:r>
            <w:r>
              <w:rPr>
                <w:b/>
                <w:sz w:val="22"/>
                <w:szCs w:val="22"/>
              </w:rPr>
              <w:t>..</w:t>
            </w:r>
            <w:proofErr w:type="gramEnd"/>
            <w:r w:rsidRPr="00191AB3">
              <w:rPr>
                <w:b/>
                <w:sz w:val="22"/>
                <w:szCs w:val="22"/>
              </w:rPr>
              <w:t xml:space="preserve"> in EUR </w:t>
            </w:r>
          </w:p>
        </w:tc>
      </w:tr>
      <w:tr w:rsidR="00DA0D41" w:rsidRPr="00191AB3" w:rsidTr="00271E88">
        <w:trPr>
          <w:jc w:val="center"/>
        </w:trPr>
        <w:tc>
          <w:tcPr>
            <w:tcW w:w="2303" w:type="dxa"/>
          </w:tcPr>
          <w:p w:rsidR="00DA0D41" w:rsidRPr="00191AB3" w:rsidRDefault="00DA0D41" w:rsidP="00271E88">
            <w:pPr>
              <w:spacing w:line="276" w:lineRule="auto"/>
              <w:rPr>
                <w:sz w:val="22"/>
                <w:szCs w:val="22"/>
              </w:rPr>
            </w:pPr>
            <w:r w:rsidRPr="00191AB3">
              <w:rPr>
                <w:sz w:val="22"/>
                <w:szCs w:val="22"/>
              </w:rPr>
              <w:t>Renault Master</w:t>
            </w:r>
          </w:p>
        </w:tc>
        <w:tc>
          <w:tcPr>
            <w:tcW w:w="1985" w:type="dxa"/>
          </w:tcPr>
          <w:p w:rsidR="00DA0D41" w:rsidRPr="00191AB3" w:rsidRDefault="00DA0D41" w:rsidP="00271E88">
            <w:pPr>
              <w:spacing w:line="276" w:lineRule="auto"/>
              <w:jc w:val="right"/>
              <w:rPr>
                <w:sz w:val="22"/>
                <w:szCs w:val="22"/>
              </w:rPr>
            </w:pPr>
            <w:r w:rsidRPr="00191AB3">
              <w:rPr>
                <w:sz w:val="22"/>
                <w:szCs w:val="22"/>
              </w:rPr>
              <w:t xml:space="preserve"> 28.000</w:t>
            </w:r>
            <w:r>
              <w:rPr>
                <w:sz w:val="22"/>
                <w:szCs w:val="22"/>
              </w:rPr>
              <w:t>,00</w:t>
            </w:r>
          </w:p>
        </w:tc>
        <w:tc>
          <w:tcPr>
            <w:tcW w:w="1238" w:type="dxa"/>
          </w:tcPr>
          <w:p w:rsidR="00DA0D41" w:rsidRPr="00191AB3" w:rsidRDefault="00DA0D41" w:rsidP="00271E88">
            <w:pPr>
              <w:spacing w:line="276" w:lineRule="auto"/>
              <w:jc w:val="center"/>
              <w:rPr>
                <w:sz w:val="22"/>
                <w:szCs w:val="22"/>
              </w:rPr>
            </w:pPr>
            <w:r w:rsidRPr="00191AB3">
              <w:rPr>
                <w:sz w:val="22"/>
                <w:szCs w:val="22"/>
              </w:rPr>
              <w:t>8</w:t>
            </w:r>
          </w:p>
        </w:tc>
        <w:tc>
          <w:tcPr>
            <w:tcW w:w="2291" w:type="dxa"/>
          </w:tcPr>
          <w:p w:rsidR="00DA0D41" w:rsidRPr="00191AB3" w:rsidRDefault="00DA0D41" w:rsidP="00271E88">
            <w:pPr>
              <w:spacing w:line="276" w:lineRule="auto"/>
              <w:jc w:val="right"/>
              <w:rPr>
                <w:sz w:val="22"/>
                <w:szCs w:val="22"/>
              </w:rPr>
            </w:pPr>
            <w:r w:rsidRPr="00191AB3">
              <w:rPr>
                <w:sz w:val="22"/>
                <w:szCs w:val="22"/>
              </w:rPr>
              <w:t xml:space="preserve">   1.750</w:t>
            </w:r>
            <w:r>
              <w:rPr>
                <w:sz w:val="22"/>
                <w:szCs w:val="22"/>
              </w:rPr>
              <w:t>,00</w:t>
            </w:r>
          </w:p>
        </w:tc>
      </w:tr>
      <w:tr w:rsidR="00DA0D41" w:rsidRPr="00191AB3" w:rsidTr="00271E88">
        <w:trPr>
          <w:jc w:val="center"/>
        </w:trPr>
        <w:tc>
          <w:tcPr>
            <w:tcW w:w="2303" w:type="dxa"/>
          </w:tcPr>
          <w:p w:rsidR="00DA0D41" w:rsidRPr="00191AB3" w:rsidRDefault="00DA0D41" w:rsidP="00271E88">
            <w:pPr>
              <w:spacing w:line="276" w:lineRule="auto"/>
              <w:rPr>
                <w:sz w:val="22"/>
                <w:szCs w:val="22"/>
              </w:rPr>
            </w:pPr>
            <w:r w:rsidRPr="00191AB3">
              <w:rPr>
                <w:sz w:val="22"/>
                <w:szCs w:val="22"/>
              </w:rPr>
              <w:t xml:space="preserve">Renault </w:t>
            </w:r>
            <w:proofErr w:type="spellStart"/>
            <w:r w:rsidRPr="00191AB3">
              <w:rPr>
                <w:sz w:val="22"/>
                <w:szCs w:val="22"/>
              </w:rPr>
              <w:t>Maxity</w:t>
            </w:r>
            <w:proofErr w:type="spellEnd"/>
          </w:p>
        </w:tc>
        <w:tc>
          <w:tcPr>
            <w:tcW w:w="1985" w:type="dxa"/>
          </w:tcPr>
          <w:p w:rsidR="00DA0D41" w:rsidRPr="00191AB3" w:rsidRDefault="00DA0D41" w:rsidP="00271E88">
            <w:pPr>
              <w:spacing w:line="276" w:lineRule="auto"/>
              <w:jc w:val="right"/>
              <w:rPr>
                <w:sz w:val="22"/>
                <w:szCs w:val="22"/>
              </w:rPr>
            </w:pPr>
            <w:r w:rsidRPr="00191AB3">
              <w:rPr>
                <w:sz w:val="22"/>
                <w:szCs w:val="22"/>
              </w:rPr>
              <w:t xml:space="preserve"> 17.500</w:t>
            </w:r>
            <w:r>
              <w:rPr>
                <w:sz w:val="22"/>
                <w:szCs w:val="22"/>
              </w:rPr>
              <w:t>,00</w:t>
            </w:r>
          </w:p>
        </w:tc>
        <w:tc>
          <w:tcPr>
            <w:tcW w:w="1238" w:type="dxa"/>
          </w:tcPr>
          <w:p w:rsidR="00DA0D41" w:rsidRPr="00191AB3" w:rsidRDefault="00DA0D41" w:rsidP="00271E88">
            <w:pPr>
              <w:spacing w:line="276" w:lineRule="auto"/>
              <w:jc w:val="center"/>
              <w:rPr>
                <w:sz w:val="22"/>
                <w:szCs w:val="22"/>
              </w:rPr>
            </w:pPr>
            <w:r w:rsidRPr="00191AB3">
              <w:rPr>
                <w:sz w:val="22"/>
                <w:szCs w:val="22"/>
              </w:rPr>
              <w:t>5</w:t>
            </w:r>
          </w:p>
        </w:tc>
        <w:tc>
          <w:tcPr>
            <w:tcW w:w="2291" w:type="dxa"/>
          </w:tcPr>
          <w:p w:rsidR="00DA0D41" w:rsidRPr="00191AB3" w:rsidRDefault="00DA0D41" w:rsidP="00271E88">
            <w:pPr>
              <w:spacing w:line="276" w:lineRule="auto"/>
              <w:jc w:val="right"/>
              <w:rPr>
                <w:sz w:val="22"/>
                <w:szCs w:val="22"/>
              </w:rPr>
            </w:pPr>
            <w:r w:rsidRPr="00191AB3">
              <w:rPr>
                <w:sz w:val="22"/>
                <w:szCs w:val="22"/>
              </w:rPr>
              <w:t xml:space="preserve">   7.000</w:t>
            </w:r>
            <w:r>
              <w:rPr>
                <w:sz w:val="22"/>
                <w:szCs w:val="22"/>
              </w:rPr>
              <w:t>,00</w:t>
            </w:r>
          </w:p>
        </w:tc>
      </w:tr>
      <w:tr w:rsidR="00DA0D41" w:rsidRPr="00191AB3" w:rsidTr="00271E88">
        <w:trPr>
          <w:jc w:val="center"/>
        </w:trPr>
        <w:tc>
          <w:tcPr>
            <w:tcW w:w="2303" w:type="dxa"/>
          </w:tcPr>
          <w:p w:rsidR="00DA0D41" w:rsidRPr="00191AB3" w:rsidRDefault="00DA0D41" w:rsidP="00271E88">
            <w:pPr>
              <w:spacing w:line="276" w:lineRule="auto"/>
              <w:rPr>
                <w:sz w:val="22"/>
                <w:szCs w:val="22"/>
              </w:rPr>
            </w:pPr>
            <w:r w:rsidRPr="00191AB3">
              <w:rPr>
                <w:sz w:val="22"/>
                <w:szCs w:val="22"/>
              </w:rPr>
              <w:t>DAF LF 200</w:t>
            </w:r>
          </w:p>
        </w:tc>
        <w:tc>
          <w:tcPr>
            <w:tcW w:w="1985" w:type="dxa"/>
          </w:tcPr>
          <w:p w:rsidR="00DA0D41" w:rsidRPr="00191AB3" w:rsidRDefault="00DA0D41" w:rsidP="00271E88">
            <w:pPr>
              <w:spacing w:line="276" w:lineRule="auto"/>
              <w:jc w:val="right"/>
              <w:rPr>
                <w:sz w:val="22"/>
                <w:szCs w:val="22"/>
              </w:rPr>
            </w:pPr>
            <w:r w:rsidRPr="00191AB3">
              <w:rPr>
                <w:sz w:val="22"/>
                <w:szCs w:val="22"/>
              </w:rPr>
              <w:t xml:space="preserve"> 34.000</w:t>
            </w:r>
            <w:r>
              <w:rPr>
                <w:sz w:val="22"/>
                <w:szCs w:val="22"/>
              </w:rPr>
              <w:t>,00</w:t>
            </w:r>
          </w:p>
        </w:tc>
        <w:tc>
          <w:tcPr>
            <w:tcW w:w="1238" w:type="dxa"/>
          </w:tcPr>
          <w:p w:rsidR="00DA0D41" w:rsidRPr="00191AB3" w:rsidRDefault="00DA0D41" w:rsidP="00271E88">
            <w:pPr>
              <w:spacing w:line="276" w:lineRule="auto"/>
              <w:jc w:val="center"/>
              <w:rPr>
                <w:sz w:val="22"/>
                <w:szCs w:val="22"/>
              </w:rPr>
            </w:pPr>
            <w:r w:rsidRPr="00191AB3">
              <w:rPr>
                <w:sz w:val="22"/>
                <w:szCs w:val="22"/>
              </w:rPr>
              <w:t>5</w:t>
            </w:r>
          </w:p>
        </w:tc>
        <w:tc>
          <w:tcPr>
            <w:tcW w:w="2291" w:type="dxa"/>
          </w:tcPr>
          <w:p w:rsidR="00DA0D41" w:rsidRPr="00191AB3" w:rsidRDefault="00DA0D41" w:rsidP="00271E88">
            <w:pPr>
              <w:spacing w:line="276" w:lineRule="auto"/>
              <w:jc w:val="right"/>
              <w:rPr>
                <w:sz w:val="22"/>
                <w:szCs w:val="22"/>
              </w:rPr>
            </w:pPr>
            <w:r w:rsidRPr="00191AB3">
              <w:rPr>
                <w:sz w:val="22"/>
                <w:szCs w:val="22"/>
              </w:rPr>
              <w:t xml:space="preserve"> 17.000</w:t>
            </w:r>
            <w:r>
              <w:rPr>
                <w:sz w:val="22"/>
                <w:szCs w:val="22"/>
              </w:rPr>
              <w:t>,00</w:t>
            </w:r>
          </w:p>
        </w:tc>
      </w:tr>
      <w:tr w:rsidR="00DA0D41" w:rsidRPr="00191AB3" w:rsidTr="00271E88">
        <w:trPr>
          <w:jc w:val="center"/>
        </w:trPr>
        <w:tc>
          <w:tcPr>
            <w:tcW w:w="2303" w:type="dxa"/>
          </w:tcPr>
          <w:p w:rsidR="00DA0D41" w:rsidRPr="00191AB3" w:rsidRDefault="00DA0D41" w:rsidP="00271E88">
            <w:pPr>
              <w:spacing w:line="276" w:lineRule="auto"/>
              <w:rPr>
                <w:sz w:val="22"/>
                <w:szCs w:val="22"/>
              </w:rPr>
            </w:pPr>
            <w:proofErr w:type="spellStart"/>
            <w:r w:rsidRPr="00191AB3">
              <w:rPr>
                <w:sz w:val="22"/>
                <w:szCs w:val="22"/>
              </w:rPr>
              <w:t>Dacia</w:t>
            </w:r>
            <w:proofErr w:type="spellEnd"/>
            <w:r w:rsidRPr="00191AB3">
              <w:rPr>
                <w:sz w:val="22"/>
                <w:szCs w:val="22"/>
              </w:rPr>
              <w:t xml:space="preserve"> Logan Van</w:t>
            </w:r>
          </w:p>
        </w:tc>
        <w:tc>
          <w:tcPr>
            <w:tcW w:w="1985" w:type="dxa"/>
          </w:tcPr>
          <w:p w:rsidR="00DA0D41" w:rsidRPr="00191AB3" w:rsidRDefault="00DA0D41" w:rsidP="00271E88">
            <w:pPr>
              <w:spacing w:line="276" w:lineRule="auto"/>
              <w:jc w:val="right"/>
              <w:rPr>
                <w:sz w:val="22"/>
                <w:szCs w:val="22"/>
              </w:rPr>
            </w:pPr>
            <w:r w:rsidRPr="00191AB3">
              <w:rPr>
                <w:sz w:val="22"/>
                <w:szCs w:val="22"/>
              </w:rPr>
              <w:t xml:space="preserve"> 12.500</w:t>
            </w:r>
            <w:r>
              <w:rPr>
                <w:sz w:val="22"/>
                <w:szCs w:val="22"/>
              </w:rPr>
              <w:t>,00</w:t>
            </w:r>
          </w:p>
        </w:tc>
        <w:tc>
          <w:tcPr>
            <w:tcW w:w="1238" w:type="dxa"/>
          </w:tcPr>
          <w:p w:rsidR="00DA0D41" w:rsidRPr="00191AB3" w:rsidRDefault="00DA0D41" w:rsidP="00271E88">
            <w:pPr>
              <w:spacing w:line="276" w:lineRule="auto"/>
              <w:jc w:val="center"/>
              <w:rPr>
                <w:sz w:val="22"/>
                <w:szCs w:val="22"/>
              </w:rPr>
            </w:pPr>
            <w:r w:rsidRPr="00191AB3">
              <w:rPr>
                <w:sz w:val="22"/>
                <w:szCs w:val="22"/>
              </w:rPr>
              <w:t>5</w:t>
            </w:r>
          </w:p>
        </w:tc>
        <w:tc>
          <w:tcPr>
            <w:tcW w:w="2291" w:type="dxa"/>
          </w:tcPr>
          <w:p w:rsidR="00DA0D41" w:rsidRPr="00191AB3" w:rsidRDefault="00DA0D41" w:rsidP="00271E88">
            <w:pPr>
              <w:spacing w:line="276" w:lineRule="auto"/>
              <w:jc w:val="right"/>
              <w:rPr>
                <w:sz w:val="22"/>
                <w:szCs w:val="22"/>
              </w:rPr>
            </w:pPr>
            <w:r>
              <w:rPr>
                <w:sz w:val="22"/>
                <w:szCs w:val="22"/>
              </w:rPr>
              <w:t>10.000,00</w:t>
            </w:r>
            <w:r w:rsidRPr="00191AB3">
              <w:rPr>
                <w:sz w:val="22"/>
                <w:szCs w:val="22"/>
              </w:rPr>
              <w:t xml:space="preserve"> </w:t>
            </w:r>
          </w:p>
        </w:tc>
      </w:tr>
    </w:tbl>
    <w:p w:rsidR="00DA0D41" w:rsidRPr="00191AB3" w:rsidRDefault="00DA0D41" w:rsidP="00DA0D41">
      <w:pPr>
        <w:spacing w:line="276" w:lineRule="auto"/>
        <w:rPr>
          <w:sz w:val="22"/>
          <w:szCs w:val="22"/>
        </w:rPr>
      </w:pPr>
    </w:p>
    <w:p w:rsidR="00DA0D41" w:rsidRDefault="00DA0D41" w:rsidP="00DA0D41">
      <w:pPr>
        <w:pStyle w:val="Listenabsatz"/>
        <w:numPr>
          <w:ilvl w:val="0"/>
          <w:numId w:val="2"/>
        </w:numPr>
        <w:spacing w:after="200" w:line="276" w:lineRule="auto"/>
        <w:jc w:val="both"/>
        <w:rPr>
          <w:sz w:val="22"/>
          <w:szCs w:val="22"/>
        </w:rPr>
      </w:pPr>
      <w:r w:rsidRPr="005D14AF">
        <w:rPr>
          <w:sz w:val="22"/>
          <w:szCs w:val="22"/>
        </w:rPr>
        <w:t xml:space="preserve">Vervollständigen Sie das </w:t>
      </w:r>
      <w:r w:rsidRPr="005D14AF">
        <w:rPr>
          <w:b/>
          <w:sz w:val="22"/>
          <w:szCs w:val="22"/>
        </w:rPr>
        <w:t>Anlageverzeichnis</w:t>
      </w:r>
      <w:r w:rsidRPr="005D14AF">
        <w:rPr>
          <w:sz w:val="22"/>
          <w:szCs w:val="22"/>
        </w:rPr>
        <w:t xml:space="preserve"> im Lösungsteil per 31.12.20...</w:t>
      </w:r>
    </w:p>
    <w:p w:rsidR="00DA0D41" w:rsidRPr="005D14AF" w:rsidRDefault="00DA0D41" w:rsidP="00DA0D41">
      <w:pPr>
        <w:pStyle w:val="Listenabsatz"/>
        <w:spacing w:after="200" w:line="276" w:lineRule="auto"/>
        <w:jc w:val="both"/>
        <w:rPr>
          <w:sz w:val="22"/>
          <w:szCs w:val="22"/>
        </w:rPr>
      </w:pPr>
    </w:p>
    <w:p w:rsidR="00DA0D41" w:rsidRDefault="00DA0D41" w:rsidP="00DA0D41">
      <w:pPr>
        <w:pStyle w:val="Listenabsatz"/>
        <w:numPr>
          <w:ilvl w:val="0"/>
          <w:numId w:val="2"/>
        </w:numPr>
        <w:spacing w:after="200" w:line="276" w:lineRule="auto"/>
        <w:jc w:val="both"/>
        <w:rPr>
          <w:sz w:val="22"/>
          <w:szCs w:val="22"/>
        </w:rPr>
      </w:pPr>
      <w:r>
        <w:rPr>
          <w:sz w:val="22"/>
          <w:szCs w:val="22"/>
        </w:rPr>
        <w:t>Der DAF LF 200</w:t>
      </w:r>
      <w:r w:rsidRPr="00191AB3">
        <w:rPr>
          <w:sz w:val="22"/>
          <w:szCs w:val="22"/>
        </w:rPr>
        <w:t xml:space="preserve"> wurde am 10.5.</w:t>
      </w:r>
      <w:proofErr w:type="gramStart"/>
      <w:r w:rsidRPr="00191AB3">
        <w:rPr>
          <w:sz w:val="22"/>
          <w:szCs w:val="22"/>
        </w:rPr>
        <w:t>20</w:t>
      </w:r>
      <w:r>
        <w:rPr>
          <w:sz w:val="22"/>
          <w:szCs w:val="22"/>
        </w:rPr>
        <w:t>..</w:t>
      </w:r>
      <w:proofErr w:type="gramEnd"/>
      <w:r w:rsidRPr="00191AB3">
        <w:rPr>
          <w:sz w:val="22"/>
          <w:szCs w:val="22"/>
        </w:rPr>
        <w:t xml:space="preserve"> um 12.500,00 EUR + 20% </w:t>
      </w:r>
      <w:proofErr w:type="spellStart"/>
      <w:r w:rsidRPr="00191AB3">
        <w:rPr>
          <w:sz w:val="22"/>
          <w:szCs w:val="22"/>
        </w:rPr>
        <w:t>Ust</w:t>
      </w:r>
      <w:proofErr w:type="spellEnd"/>
      <w:r w:rsidRPr="00191AB3">
        <w:rPr>
          <w:sz w:val="22"/>
          <w:szCs w:val="22"/>
        </w:rPr>
        <w:t xml:space="preserve"> ver</w:t>
      </w:r>
      <w:r>
        <w:rPr>
          <w:sz w:val="22"/>
          <w:szCs w:val="22"/>
        </w:rPr>
        <w:t>kauft. Der Verkaufserlös wurde ordnungsgemäß verbucht. Sonst wurden noch keine Buchungen vorgenommen. (Hinweis: Es muss nicht überprüft werden, ob eine stille Reserve aufgedeckt wurde.)</w:t>
      </w:r>
    </w:p>
    <w:p w:rsidR="00DA0D41" w:rsidRPr="00191AB3" w:rsidRDefault="00DA0D41" w:rsidP="00DA0D41">
      <w:pPr>
        <w:pStyle w:val="Listenabsatz"/>
        <w:spacing w:line="276" w:lineRule="auto"/>
        <w:jc w:val="both"/>
        <w:rPr>
          <w:sz w:val="22"/>
          <w:szCs w:val="22"/>
        </w:rPr>
      </w:pPr>
    </w:p>
    <w:p w:rsidR="00DA0D41" w:rsidRPr="00191AB3" w:rsidRDefault="00DA0D41" w:rsidP="00DA0D41">
      <w:pPr>
        <w:spacing w:line="276" w:lineRule="auto"/>
        <w:jc w:val="both"/>
        <w:rPr>
          <w:sz w:val="22"/>
          <w:szCs w:val="22"/>
        </w:rPr>
      </w:pPr>
      <w:r w:rsidRPr="00191AB3">
        <w:rPr>
          <w:sz w:val="22"/>
          <w:szCs w:val="22"/>
        </w:rPr>
        <w:t xml:space="preserve">Für die im Betrieb verbleibenden Fahrzeuge ist die </w:t>
      </w:r>
      <w:r w:rsidRPr="00191AB3">
        <w:rPr>
          <w:b/>
          <w:sz w:val="22"/>
          <w:szCs w:val="22"/>
        </w:rPr>
        <w:t>Abschreibung</w:t>
      </w:r>
      <w:r>
        <w:rPr>
          <w:sz w:val="22"/>
          <w:szCs w:val="22"/>
        </w:rPr>
        <w:t xml:space="preserve"> zu ermitteln und zu verbuchen.</w:t>
      </w:r>
    </w:p>
    <w:p w:rsidR="00DA0D41" w:rsidRPr="008B279C" w:rsidRDefault="00DA0D41" w:rsidP="00DA0D41">
      <w:pPr>
        <w:spacing w:line="276" w:lineRule="auto"/>
        <w:jc w:val="both"/>
        <w:rPr>
          <w:sz w:val="22"/>
          <w:szCs w:val="22"/>
        </w:rPr>
      </w:pPr>
    </w:p>
    <w:p w:rsidR="00DA0D41" w:rsidRPr="00622488" w:rsidRDefault="00DA0D41" w:rsidP="00DA0D41">
      <w:pPr>
        <w:pStyle w:val="Listenabsatz"/>
        <w:numPr>
          <w:ilvl w:val="0"/>
          <w:numId w:val="7"/>
        </w:numPr>
        <w:spacing w:after="200" w:line="276" w:lineRule="auto"/>
        <w:jc w:val="both"/>
        <w:rPr>
          <w:sz w:val="22"/>
          <w:szCs w:val="22"/>
        </w:rPr>
      </w:pPr>
      <w:r w:rsidRPr="00D75299">
        <w:rPr>
          <w:sz w:val="22"/>
          <w:szCs w:val="22"/>
        </w:rPr>
        <w:lastRenderedPageBreak/>
        <w:t>Rückstellungen</w:t>
      </w:r>
      <w:r>
        <w:rPr>
          <w:sz w:val="22"/>
          <w:szCs w:val="22"/>
        </w:rPr>
        <w:t xml:space="preserve"> /3</w:t>
      </w:r>
    </w:p>
    <w:p w:rsidR="00DA0D41" w:rsidRPr="00191AB3" w:rsidRDefault="00DA0D41" w:rsidP="00DA0D41">
      <w:pPr>
        <w:pStyle w:val="Listenabsatz"/>
        <w:spacing w:line="276" w:lineRule="auto"/>
        <w:jc w:val="both"/>
        <w:rPr>
          <w:b/>
          <w:sz w:val="22"/>
          <w:szCs w:val="22"/>
        </w:rPr>
      </w:pPr>
    </w:p>
    <w:p w:rsidR="00DA0D41" w:rsidRPr="00191AB3" w:rsidRDefault="00DA0D41" w:rsidP="00DA0D41">
      <w:pPr>
        <w:pStyle w:val="Listenabsatz"/>
        <w:numPr>
          <w:ilvl w:val="0"/>
          <w:numId w:val="4"/>
        </w:numPr>
        <w:spacing w:after="200" w:line="276" w:lineRule="auto"/>
        <w:jc w:val="both"/>
        <w:rPr>
          <w:sz w:val="22"/>
          <w:szCs w:val="22"/>
        </w:rPr>
      </w:pPr>
      <w:r w:rsidRPr="00191AB3">
        <w:rPr>
          <w:sz w:val="22"/>
          <w:szCs w:val="22"/>
        </w:rPr>
        <w:t xml:space="preserve">Trotz umfassender Sicherheits- und Vorsichtsmaßnahmen sieht sich der Märchenpark immer wieder mit einzelnen Schadenersatzforderungen von Besucher/innen konfrontiert. So wurde daher auch im Vorjahr eine </w:t>
      </w:r>
      <w:r w:rsidRPr="00191AB3">
        <w:rPr>
          <w:b/>
          <w:sz w:val="22"/>
          <w:szCs w:val="22"/>
        </w:rPr>
        <w:t>Rückstellung für Schadensersatz</w:t>
      </w:r>
      <w:r w:rsidRPr="00191AB3">
        <w:rPr>
          <w:sz w:val="22"/>
          <w:szCs w:val="22"/>
        </w:rPr>
        <w:t xml:space="preserve"> gebildet (siehe Saldenbilanz). In diesem Zusammenhang wurden wir dieses Jahr zu einer Schadenersatzzahlung in der Höhe von 8.000,00 EUR verurteilt. Der Betrag wurde am 28.12.</w:t>
      </w:r>
      <w:proofErr w:type="gramStart"/>
      <w:r w:rsidRPr="00191AB3">
        <w:rPr>
          <w:sz w:val="22"/>
          <w:szCs w:val="22"/>
        </w:rPr>
        <w:t>20</w:t>
      </w:r>
      <w:r>
        <w:rPr>
          <w:sz w:val="22"/>
          <w:szCs w:val="22"/>
        </w:rPr>
        <w:t>..</w:t>
      </w:r>
      <w:proofErr w:type="gramEnd"/>
      <w:r w:rsidRPr="00191AB3">
        <w:rPr>
          <w:sz w:val="22"/>
          <w:szCs w:val="22"/>
        </w:rPr>
        <w:t xml:space="preserve"> überwiesen (B234).</w:t>
      </w:r>
    </w:p>
    <w:p w:rsidR="00DA0D41" w:rsidRPr="00191AB3" w:rsidRDefault="00DA0D41" w:rsidP="00DA0D41">
      <w:pPr>
        <w:pStyle w:val="Listenabsatz"/>
        <w:spacing w:after="200" w:line="276" w:lineRule="auto"/>
        <w:jc w:val="both"/>
        <w:rPr>
          <w:sz w:val="22"/>
          <w:szCs w:val="22"/>
        </w:rPr>
      </w:pPr>
      <w:r w:rsidRPr="00191AB3">
        <w:rPr>
          <w:sz w:val="22"/>
          <w:szCs w:val="22"/>
          <w:u w:val="single"/>
        </w:rPr>
        <w:t>Es erfolgte noch keine Buchung</w:t>
      </w:r>
      <w:r w:rsidRPr="00191AB3">
        <w:rPr>
          <w:sz w:val="22"/>
          <w:szCs w:val="22"/>
        </w:rPr>
        <w:t>!</w:t>
      </w:r>
    </w:p>
    <w:p w:rsidR="00DA0D41" w:rsidRPr="00191AB3" w:rsidRDefault="00DA0D41" w:rsidP="00DA0D41">
      <w:pPr>
        <w:pStyle w:val="Listenabsatz"/>
        <w:spacing w:after="200" w:line="276" w:lineRule="auto"/>
        <w:jc w:val="both"/>
        <w:rPr>
          <w:sz w:val="22"/>
          <w:szCs w:val="22"/>
        </w:rPr>
      </w:pPr>
    </w:p>
    <w:p w:rsidR="00DA0D41" w:rsidRPr="00191AB3" w:rsidRDefault="00DA0D41" w:rsidP="00DA0D41">
      <w:pPr>
        <w:pStyle w:val="Listenabsatz"/>
        <w:numPr>
          <w:ilvl w:val="0"/>
          <w:numId w:val="4"/>
        </w:numPr>
        <w:spacing w:after="200" w:line="276" w:lineRule="auto"/>
        <w:jc w:val="both"/>
        <w:rPr>
          <w:sz w:val="22"/>
          <w:szCs w:val="22"/>
        </w:rPr>
      </w:pPr>
      <w:r>
        <w:rPr>
          <w:sz w:val="22"/>
          <w:szCs w:val="22"/>
        </w:rPr>
        <w:t>Im letzten Geschäftsjahr</w:t>
      </w:r>
      <w:r w:rsidRPr="00191AB3">
        <w:rPr>
          <w:sz w:val="22"/>
          <w:szCs w:val="22"/>
        </w:rPr>
        <w:t xml:space="preserve"> ist es glücklicherweise zu keinen neuen Schadenersatzforderungen gekommen, sodass wir für 2012 </w:t>
      </w:r>
      <w:r w:rsidRPr="00191AB3">
        <w:rPr>
          <w:b/>
          <w:sz w:val="22"/>
          <w:szCs w:val="22"/>
        </w:rPr>
        <w:t>keine neue Rückstellung für Schadenersatz</w:t>
      </w:r>
      <w:r w:rsidRPr="00191AB3">
        <w:rPr>
          <w:sz w:val="22"/>
          <w:szCs w:val="22"/>
        </w:rPr>
        <w:t xml:space="preserve"> bilden müssen.</w:t>
      </w:r>
    </w:p>
    <w:p w:rsidR="00DA0D41" w:rsidRPr="00191AB3" w:rsidRDefault="00DA0D41" w:rsidP="00DA0D41">
      <w:pPr>
        <w:pStyle w:val="Listenabsatz"/>
        <w:spacing w:after="200" w:line="276" w:lineRule="auto"/>
        <w:jc w:val="both"/>
        <w:rPr>
          <w:sz w:val="22"/>
          <w:szCs w:val="22"/>
        </w:rPr>
      </w:pPr>
    </w:p>
    <w:p w:rsidR="00DA0D41" w:rsidRPr="00D75299" w:rsidRDefault="00DA0D41" w:rsidP="00DA0D41">
      <w:pPr>
        <w:pStyle w:val="Listenabsatz"/>
        <w:numPr>
          <w:ilvl w:val="0"/>
          <w:numId w:val="7"/>
        </w:numPr>
        <w:spacing w:line="276" w:lineRule="auto"/>
        <w:ind w:left="567" w:hanging="567"/>
        <w:jc w:val="both"/>
        <w:rPr>
          <w:sz w:val="22"/>
          <w:szCs w:val="22"/>
        </w:rPr>
      </w:pPr>
      <w:r w:rsidRPr="00D75299">
        <w:rPr>
          <w:sz w:val="22"/>
          <w:szCs w:val="22"/>
        </w:rPr>
        <w:t>Rechnungsabgrenzungen</w:t>
      </w:r>
      <w:r>
        <w:rPr>
          <w:sz w:val="22"/>
          <w:szCs w:val="22"/>
        </w:rPr>
        <w:t xml:space="preserve"> /5</w:t>
      </w:r>
    </w:p>
    <w:p w:rsidR="00DA0D41" w:rsidRPr="00191AB3" w:rsidRDefault="00DA0D41" w:rsidP="00DA0D41">
      <w:pPr>
        <w:pStyle w:val="Listenabsatz"/>
        <w:spacing w:line="276" w:lineRule="auto"/>
        <w:ind w:left="567"/>
        <w:jc w:val="both"/>
        <w:rPr>
          <w:b/>
          <w:sz w:val="22"/>
          <w:szCs w:val="22"/>
        </w:rPr>
      </w:pPr>
    </w:p>
    <w:p w:rsidR="00DA0D41" w:rsidRPr="00191AB3" w:rsidRDefault="00DA0D41" w:rsidP="00DA0D41">
      <w:pPr>
        <w:spacing w:line="276" w:lineRule="auto"/>
        <w:jc w:val="both"/>
        <w:rPr>
          <w:sz w:val="22"/>
          <w:szCs w:val="22"/>
          <w:u w:val="single"/>
        </w:rPr>
      </w:pPr>
      <w:r w:rsidRPr="00191AB3">
        <w:rPr>
          <w:sz w:val="22"/>
          <w:szCs w:val="22"/>
          <w:u w:val="single"/>
        </w:rPr>
        <w:t>Vermietung</w:t>
      </w:r>
    </w:p>
    <w:p w:rsidR="00DA0D41" w:rsidRPr="00191AB3" w:rsidRDefault="00DA0D41" w:rsidP="00DA0D41">
      <w:pPr>
        <w:pStyle w:val="Listenabsatz"/>
        <w:numPr>
          <w:ilvl w:val="0"/>
          <w:numId w:val="5"/>
        </w:numPr>
        <w:spacing w:after="200" w:line="276" w:lineRule="auto"/>
        <w:jc w:val="both"/>
        <w:rPr>
          <w:sz w:val="22"/>
          <w:szCs w:val="22"/>
        </w:rPr>
      </w:pPr>
      <w:r w:rsidRPr="00191AB3">
        <w:rPr>
          <w:sz w:val="22"/>
          <w:szCs w:val="22"/>
        </w:rPr>
        <w:t>Wir haben am 1.11.</w:t>
      </w:r>
      <w:proofErr w:type="gramStart"/>
      <w:r w:rsidRPr="00191AB3">
        <w:rPr>
          <w:sz w:val="22"/>
          <w:szCs w:val="22"/>
        </w:rPr>
        <w:t>20</w:t>
      </w:r>
      <w:r>
        <w:rPr>
          <w:sz w:val="22"/>
          <w:szCs w:val="22"/>
        </w:rPr>
        <w:t>..</w:t>
      </w:r>
      <w:proofErr w:type="gramEnd"/>
      <w:r w:rsidRPr="00191AB3">
        <w:rPr>
          <w:sz w:val="22"/>
          <w:szCs w:val="22"/>
        </w:rPr>
        <w:t xml:space="preserve"> für die Vermietung eines </w:t>
      </w:r>
      <w:r w:rsidRPr="00191AB3">
        <w:rPr>
          <w:b/>
          <w:sz w:val="22"/>
          <w:szCs w:val="22"/>
        </w:rPr>
        <w:t xml:space="preserve">Erfrischungskiosks </w:t>
      </w:r>
      <w:r w:rsidRPr="00191AB3">
        <w:rPr>
          <w:sz w:val="22"/>
          <w:szCs w:val="22"/>
        </w:rPr>
        <w:t xml:space="preserve">am Areal des Freizeitsparks 3.600,00 EUR (inkl. 20% </w:t>
      </w:r>
      <w:proofErr w:type="spellStart"/>
      <w:r w:rsidRPr="00191AB3">
        <w:rPr>
          <w:sz w:val="22"/>
          <w:szCs w:val="22"/>
        </w:rPr>
        <w:t>USt</w:t>
      </w:r>
      <w:proofErr w:type="spellEnd"/>
      <w:r w:rsidRPr="00191AB3">
        <w:rPr>
          <w:sz w:val="22"/>
          <w:szCs w:val="22"/>
        </w:rPr>
        <w:t>.) Miete für 6 Monate im Voraus erhalten und ordnungsgemäß verbucht.</w:t>
      </w:r>
    </w:p>
    <w:p w:rsidR="00DA0D41" w:rsidRPr="00191AB3" w:rsidRDefault="00DA0D41" w:rsidP="00DA0D41">
      <w:pPr>
        <w:spacing w:line="276" w:lineRule="auto"/>
        <w:rPr>
          <w:sz w:val="22"/>
          <w:szCs w:val="22"/>
          <w:u w:val="single"/>
        </w:rPr>
      </w:pPr>
      <w:r w:rsidRPr="00191AB3">
        <w:rPr>
          <w:sz w:val="22"/>
          <w:szCs w:val="22"/>
          <w:u w:val="single"/>
        </w:rPr>
        <w:t>Versicherung</w:t>
      </w:r>
    </w:p>
    <w:p w:rsidR="00DA0D41" w:rsidRPr="00191AB3" w:rsidRDefault="00DA0D41" w:rsidP="00DA0D41">
      <w:pPr>
        <w:pStyle w:val="Listenabsatz"/>
        <w:numPr>
          <w:ilvl w:val="0"/>
          <w:numId w:val="5"/>
        </w:numPr>
        <w:spacing w:after="200" w:line="276" w:lineRule="auto"/>
        <w:jc w:val="both"/>
        <w:rPr>
          <w:sz w:val="22"/>
          <w:szCs w:val="22"/>
        </w:rPr>
      </w:pPr>
      <w:r w:rsidRPr="00191AB3">
        <w:rPr>
          <w:sz w:val="22"/>
          <w:szCs w:val="22"/>
        </w:rPr>
        <w:t xml:space="preserve">Um den Freizeitpark vor Schäden an Gebäuden, Betriebseinrichtungen durch Sturm, Hagel oder Schneedruck abzusichern, wurde im Oktober 2012 erstmals eine </w:t>
      </w:r>
      <w:r w:rsidRPr="00191AB3">
        <w:rPr>
          <w:b/>
          <w:sz w:val="22"/>
          <w:szCs w:val="22"/>
        </w:rPr>
        <w:t>Sturmversicherung</w:t>
      </w:r>
      <w:r w:rsidRPr="00191AB3">
        <w:rPr>
          <w:sz w:val="22"/>
          <w:szCs w:val="22"/>
        </w:rPr>
        <w:t xml:space="preserve"> abgeschlossen. </w:t>
      </w:r>
      <w:r w:rsidRPr="00191AB3">
        <w:rPr>
          <w:sz w:val="22"/>
          <w:szCs w:val="22"/>
          <w:u w:val="single"/>
        </w:rPr>
        <w:t>Die Jahresprämie</w:t>
      </w:r>
      <w:r w:rsidRPr="00191AB3">
        <w:rPr>
          <w:sz w:val="22"/>
          <w:szCs w:val="22"/>
        </w:rPr>
        <w:t xml:space="preserve"> in der Höhe von 4.200,00 EUR wurde am 1.10.2012 per Banküberweisung (B198) bezahlt und ordnungsgemäß verbucht.</w:t>
      </w:r>
    </w:p>
    <w:p w:rsidR="00DA0D41" w:rsidRPr="00191AB3" w:rsidRDefault="00DA0D41" w:rsidP="00DA0D41">
      <w:pPr>
        <w:spacing w:line="276" w:lineRule="auto"/>
        <w:rPr>
          <w:sz w:val="22"/>
          <w:szCs w:val="22"/>
        </w:rPr>
      </w:pPr>
    </w:p>
    <w:p w:rsidR="00DA0D41" w:rsidRPr="00D75299" w:rsidRDefault="00DA0D41" w:rsidP="00DA0D41">
      <w:pPr>
        <w:pStyle w:val="Listenabsatz"/>
        <w:numPr>
          <w:ilvl w:val="0"/>
          <w:numId w:val="7"/>
        </w:numPr>
        <w:spacing w:line="276" w:lineRule="auto"/>
        <w:ind w:left="567" w:hanging="567"/>
        <w:rPr>
          <w:sz w:val="22"/>
          <w:szCs w:val="22"/>
        </w:rPr>
      </w:pPr>
      <w:r w:rsidRPr="00D75299">
        <w:rPr>
          <w:sz w:val="22"/>
          <w:szCs w:val="22"/>
        </w:rPr>
        <w:t>Warenbewertung – Handelswaren</w:t>
      </w:r>
      <w:r>
        <w:rPr>
          <w:sz w:val="22"/>
          <w:szCs w:val="22"/>
        </w:rPr>
        <w:t xml:space="preserve"> /5</w:t>
      </w:r>
    </w:p>
    <w:p w:rsidR="00DA0D41" w:rsidRPr="00191AB3" w:rsidRDefault="00DA0D41" w:rsidP="00DA0D41">
      <w:pPr>
        <w:pStyle w:val="Listenabsatz"/>
        <w:spacing w:line="276" w:lineRule="auto"/>
        <w:ind w:left="567"/>
        <w:rPr>
          <w:b/>
          <w:sz w:val="22"/>
          <w:szCs w:val="22"/>
        </w:rPr>
      </w:pPr>
    </w:p>
    <w:p w:rsidR="00DA0D41" w:rsidRPr="00191AB3" w:rsidRDefault="00DA0D41" w:rsidP="00DA0D41">
      <w:pPr>
        <w:spacing w:line="276" w:lineRule="auto"/>
        <w:jc w:val="both"/>
        <w:rPr>
          <w:sz w:val="22"/>
          <w:szCs w:val="22"/>
        </w:rPr>
      </w:pPr>
      <w:r>
        <w:rPr>
          <w:sz w:val="22"/>
          <w:szCs w:val="22"/>
        </w:rPr>
        <w:t xml:space="preserve">Im </w:t>
      </w:r>
      <w:r w:rsidRPr="00191AB3">
        <w:rPr>
          <w:sz w:val="22"/>
          <w:szCs w:val="22"/>
        </w:rPr>
        <w:t>Souvenirshop</w:t>
      </w:r>
      <w:r>
        <w:rPr>
          <w:sz w:val="22"/>
          <w:szCs w:val="22"/>
        </w:rPr>
        <w:t xml:space="preserve"> gibt es jede Menge Plüschtiere zu kaufen</w:t>
      </w:r>
      <w:r w:rsidRPr="00191AB3">
        <w:rPr>
          <w:sz w:val="22"/>
          <w:szCs w:val="22"/>
        </w:rPr>
        <w:t xml:space="preserve">. Das mit Abstand am meisten verkaufte </w:t>
      </w:r>
      <w:r w:rsidRPr="005D7A13">
        <w:rPr>
          <w:sz w:val="22"/>
          <w:szCs w:val="22"/>
        </w:rPr>
        <w:t>Souvenir ist der</w:t>
      </w:r>
      <w:r>
        <w:rPr>
          <w:b/>
          <w:sz w:val="22"/>
          <w:szCs w:val="22"/>
        </w:rPr>
        <w:t xml:space="preserve"> Dinosaurier Didi-Rex</w:t>
      </w:r>
      <w:r w:rsidRPr="00191AB3">
        <w:rPr>
          <w:sz w:val="22"/>
          <w:szCs w:val="22"/>
        </w:rPr>
        <w:t xml:space="preserve">. </w:t>
      </w:r>
      <w:r>
        <w:rPr>
          <w:sz w:val="22"/>
          <w:szCs w:val="22"/>
        </w:rPr>
        <w:t>Das</w:t>
      </w:r>
      <w:r w:rsidRPr="00191AB3">
        <w:rPr>
          <w:sz w:val="22"/>
          <w:szCs w:val="22"/>
        </w:rPr>
        <w:t xml:space="preserve"> hochwertige Produkt mit </w:t>
      </w:r>
      <w:proofErr w:type="spellStart"/>
      <w:r w:rsidRPr="00191AB3">
        <w:rPr>
          <w:sz w:val="22"/>
          <w:szCs w:val="22"/>
        </w:rPr>
        <w:t>Fairtrade</w:t>
      </w:r>
      <w:proofErr w:type="spellEnd"/>
      <w:r w:rsidRPr="00191AB3">
        <w:rPr>
          <w:sz w:val="22"/>
          <w:szCs w:val="22"/>
        </w:rPr>
        <w:t xml:space="preserve"> Zertifizie</w:t>
      </w:r>
      <w:r>
        <w:rPr>
          <w:sz w:val="22"/>
          <w:szCs w:val="22"/>
        </w:rPr>
        <w:t>rung</w:t>
      </w:r>
      <w:r w:rsidRPr="00191AB3">
        <w:rPr>
          <w:sz w:val="22"/>
          <w:szCs w:val="22"/>
        </w:rPr>
        <w:t xml:space="preserve"> wird  in Indien hergestellt und in großer Stückzahl 3x im Jahr importiert. Aufgrund der Wechselkursschwankungen variiert der Einkaufspreis zum Teil erheblich. </w:t>
      </w:r>
    </w:p>
    <w:p w:rsidR="00DA0D41" w:rsidRPr="00191AB3" w:rsidRDefault="00DA0D41" w:rsidP="00DA0D41">
      <w:pPr>
        <w:spacing w:line="276" w:lineRule="auto"/>
        <w:rPr>
          <w:sz w:val="22"/>
          <w:szCs w:val="22"/>
        </w:rPr>
      </w:pPr>
    </w:p>
    <w:p w:rsidR="00DA0D41" w:rsidRPr="00191AB3" w:rsidRDefault="00DA0D41" w:rsidP="00DA0D41">
      <w:pPr>
        <w:spacing w:line="276" w:lineRule="auto"/>
        <w:jc w:val="both"/>
        <w:rPr>
          <w:sz w:val="22"/>
          <w:szCs w:val="22"/>
        </w:rPr>
      </w:pPr>
      <w:r w:rsidRPr="00191AB3">
        <w:rPr>
          <w:sz w:val="22"/>
          <w:szCs w:val="22"/>
        </w:rPr>
        <w:t>Laut Inventur - durchgeführt am 31.12.</w:t>
      </w:r>
      <w:proofErr w:type="gramStart"/>
      <w:r w:rsidRPr="00191AB3">
        <w:rPr>
          <w:sz w:val="22"/>
          <w:szCs w:val="22"/>
        </w:rPr>
        <w:t>20</w:t>
      </w:r>
      <w:r>
        <w:rPr>
          <w:sz w:val="22"/>
          <w:szCs w:val="22"/>
        </w:rPr>
        <w:t>..</w:t>
      </w:r>
      <w:proofErr w:type="gramEnd"/>
      <w:r w:rsidRPr="00191AB3">
        <w:rPr>
          <w:sz w:val="22"/>
          <w:szCs w:val="22"/>
        </w:rPr>
        <w:t xml:space="preserve"> - haben wir noch 4.200 Stück auf Lager.</w:t>
      </w:r>
      <w:r>
        <w:rPr>
          <w:sz w:val="22"/>
          <w:szCs w:val="22"/>
        </w:rPr>
        <w:t xml:space="preserve"> </w:t>
      </w:r>
      <w:r w:rsidRPr="00191AB3">
        <w:rPr>
          <w:sz w:val="22"/>
          <w:szCs w:val="22"/>
        </w:rPr>
        <w:t>Laut unseren Verkaufsaufzeichnungen müssten eigentlich noch 4.250 Stück auf Lager sein.</w:t>
      </w:r>
    </w:p>
    <w:p w:rsidR="00DA0D41" w:rsidRPr="00191AB3" w:rsidRDefault="00DA0D41" w:rsidP="00DA0D41">
      <w:pPr>
        <w:spacing w:line="276" w:lineRule="auto"/>
        <w:rPr>
          <w:sz w:val="22"/>
          <w:szCs w:val="22"/>
        </w:rPr>
      </w:pPr>
    </w:p>
    <w:p w:rsidR="00DA0D41" w:rsidRDefault="00DA0D41" w:rsidP="00DA0D41">
      <w:pPr>
        <w:spacing w:line="276" w:lineRule="auto"/>
        <w:rPr>
          <w:sz w:val="22"/>
          <w:szCs w:val="22"/>
        </w:rPr>
      </w:pPr>
      <w:r w:rsidRPr="00191AB3">
        <w:rPr>
          <w:sz w:val="22"/>
          <w:szCs w:val="22"/>
        </w:rPr>
        <w:t xml:space="preserve">Der </w:t>
      </w:r>
      <w:r w:rsidRPr="00191AB3">
        <w:rPr>
          <w:b/>
          <w:sz w:val="22"/>
          <w:szCs w:val="22"/>
        </w:rPr>
        <w:t>Preis am Bilanzstichtag</w:t>
      </w:r>
      <w:r w:rsidRPr="00191AB3">
        <w:rPr>
          <w:sz w:val="22"/>
          <w:szCs w:val="22"/>
        </w:rPr>
        <w:t xml:space="preserve"> beträgt 4,20 EUR.</w:t>
      </w:r>
    </w:p>
    <w:p w:rsidR="00DA0D41" w:rsidRPr="00191AB3" w:rsidRDefault="00DA0D41" w:rsidP="00DA0D41">
      <w:pPr>
        <w:spacing w:line="276" w:lineRule="auto"/>
        <w:rPr>
          <w:sz w:val="22"/>
          <w:szCs w:val="22"/>
        </w:rPr>
      </w:pPr>
      <w:r>
        <w:rPr>
          <w:sz w:val="22"/>
          <w:szCs w:val="22"/>
        </w:rPr>
        <w:t>Vervollständigen Sie im Lösungsteil die Warenbewertung und nehmen Sie die entsprechenden Buchungen vor.</w:t>
      </w:r>
    </w:p>
    <w:p w:rsidR="00DA0D41" w:rsidRPr="00191AB3" w:rsidRDefault="00DA0D41" w:rsidP="00DA0D41">
      <w:pPr>
        <w:rPr>
          <w:sz w:val="22"/>
          <w:szCs w:val="22"/>
        </w:rPr>
      </w:pPr>
    </w:p>
    <w:p w:rsidR="00DA0D41" w:rsidRPr="00E254F2" w:rsidRDefault="00DA0D41" w:rsidP="00DA0D41">
      <w:r w:rsidRPr="00244809">
        <w:rPr>
          <w:b/>
        </w:rPr>
        <w:br w:type="page"/>
      </w:r>
    </w:p>
    <w:p w:rsidR="00DA0D41" w:rsidRPr="005D7A13" w:rsidRDefault="00DA0D41" w:rsidP="00DA0D41">
      <w:pPr>
        <w:pStyle w:val="Listenabsatz"/>
        <w:numPr>
          <w:ilvl w:val="0"/>
          <w:numId w:val="7"/>
        </w:numPr>
        <w:spacing w:line="276" w:lineRule="auto"/>
        <w:ind w:left="567" w:hanging="567"/>
        <w:rPr>
          <w:sz w:val="22"/>
        </w:rPr>
      </w:pPr>
      <w:r w:rsidRPr="005D7A13">
        <w:rPr>
          <w:sz w:val="22"/>
        </w:rPr>
        <w:lastRenderedPageBreak/>
        <w:t>Forderungsbewertung</w:t>
      </w:r>
      <w:r>
        <w:rPr>
          <w:sz w:val="22"/>
        </w:rPr>
        <w:t xml:space="preserve"> /2</w:t>
      </w:r>
    </w:p>
    <w:p w:rsidR="00DA0D41" w:rsidRPr="006D5D46" w:rsidRDefault="00DA0D41" w:rsidP="00DA0D41">
      <w:pPr>
        <w:pStyle w:val="Listenabsatz"/>
        <w:spacing w:line="276" w:lineRule="auto"/>
        <w:ind w:left="567"/>
        <w:rPr>
          <w:b/>
          <w:sz w:val="22"/>
        </w:rPr>
      </w:pPr>
    </w:p>
    <w:p w:rsidR="00DA0D41" w:rsidRPr="006D5D46" w:rsidRDefault="00DA0D41" w:rsidP="00DA0D41">
      <w:pPr>
        <w:spacing w:line="276" w:lineRule="auto"/>
        <w:rPr>
          <w:sz w:val="22"/>
        </w:rPr>
      </w:pPr>
      <w:r w:rsidRPr="006D5D46">
        <w:rPr>
          <w:sz w:val="22"/>
          <w:u w:val="single"/>
        </w:rPr>
        <w:t>Auszug aus der Offenen Posten Liste per 31.12.</w:t>
      </w:r>
      <w:proofErr w:type="gramStart"/>
      <w:r w:rsidRPr="006D5D46">
        <w:rPr>
          <w:sz w:val="22"/>
          <w:u w:val="single"/>
        </w:rPr>
        <w:t>20</w:t>
      </w:r>
      <w:r>
        <w:rPr>
          <w:sz w:val="22"/>
          <w:u w:val="single"/>
        </w:rPr>
        <w:t>..</w:t>
      </w:r>
      <w:proofErr w:type="gramEnd"/>
      <w:r w:rsidRPr="006D5D46">
        <w:rPr>
          <w:sz w:val="22"/>
          <w:u w:val="single"/>
        </w:rPr>
        <w:t>:</w:t>
      </w:r>
      <w:r w:rsidRPr="006D5D46">
        <w:rPr>
          <w:sz w:val="22"/>
        </w:rPr>
        <w:br/>
        <w:t>(Beträge in EUR)</w:t>
      </w:r>
    </w:p>
    <w:p w:rsidR="00DA0D41" w:rsidRPr="006D5D46" w:rsidRDefault="00DA0D41" w:rsidP="00DA0D41">
      <w:pPr>
        <w:spacing w:line="276" w:lineRule="auto"/>
        <w:rPr>
          <w:b/>
          <w:sz w:val="22"/>
        </w:rPr>
      </w:pPr>
    </w:p>
    <w:tbl>
      <w:tblPr>
        <w:tblStyle w:val="Tabellenraster"/>
        <w:tblW w:w="9038" w:type="dxa"/>
        <w:tblLook w:val="04A0" w:firstRow="1" w:lastRow="0" w:firstColumn="1" w:lastColumn="0" w:noHBand="0" w:noVBand="1"/>
      </w:tblPr>
      <w:tblGrid>
        <w:gridCol w:w="2027"/>
        <w:gridCol w:w="3751"/>
        <w:gridCol w:w="1985"/>
        <w:gridCol w:w="1275"/>
      </w:tblGrid>
      <w:tr w:rsidR="00DA0D41" w:rsidRPr="006D5D46" w:rsidTr="00271E88">
        <w:tc>
          <w:tcPr>
            <w:tcW w:w="2027" w:type="dxa"/>
            <w:shd w:val="clear" w:color="auto" w:fill="D9D9D9" w:themeFill="background1" w:themeFillShade="D9"/>
          </w:tcPr>
          <w:p w:rsidR="00DA0D41" w:rsidRPr="006D5D46" w:rsidRDefault="00DA0D41" w:rsidP="00271E88">
            <w:pPr>
              <w:rPr>
                <w:b/>
                <w:sz w:val="22"/>
              </w:rPr>
            </w:pPr>
            <w:r w:rsidRPr="006D5D46">
              <w:rPr>
                <w:b/>
                <w:sz w:val="22"/>
              </w:rPr>
              <w:t>Kontonummer</w:t>
            </w:r>
          </w:p>
        </w:tc>
        <w:tc>
          <w:tcPr>
            <w:tcW w:w="3751" w:type="dxa"/>
            <w:shd w:val="clear" w:color="auto" w:fill="D9D9D9" w:themeFill="background1" w:themeFillShade="D9"/>
          </w:tcPr>
          <w:p w:rsidR="00DA0D41" w:rsidRPr="006D5D46" w:rsidRDefault="00DA0D41" w:rsidP="00271E88">
            <w:pPr>
              <w:rPr>
                <w:b/>
                <w:sz w:val="22"/>
              </w:rPr>
            </w:pPr>
            <w:r w:rsidRPr="006D5D46">
              <w:rPr>
                <w:b/>
                <w:sz w:val="22"/>
              </w:rPr>
              <w:t>Bezeichnung</w:t>
            </w:r>
          </w:p>
        </w:tc>
        <w:tc>
          <w:tcPr>
            <w:tcW w:w="1985" w:type="dxa"/>
            <w:shd w:val="clear" w:color="auto" w:fill="D9D9D9" w:themeFill="background1" w:themeFillShade="D9"/>
          </w:tcPr>
          <w:p w:rsidR="00DA0D41" w:rsidRPr="006D5D46" w:rsidRDefault="00DA0D41" w:rsidP="00271E88">
            <w:pPr>
              <w:rPr>
                <w:b/>
                <w:sz w:val="22"/>
              </w:rPr>
            </w:pPr>
            <w:r w:rsidRPr="006D5D46">
              <w:rPr>
                <w:b/>
                <w:sz w:val="22"/>
              </w:rPr>
              <w:t>Betrag</w:t>
            </w:r>
          </w:p>
        </w:tc>
        <w:tc>
          <w:tcPr>
            <w:tcW w:w="1275" w:type="dxa"/>
            <w:shd w:val="clear" w:color="auto" w:fill="D9D9D9" w:themeFill="background1" w:themeFillShade="D9"/>
          </w:tcPr>
          <w:p w:rsidR="00DA0D41" w:rsidRPr="006D5D46" w:rsidRDefault="00DA0D41" w:rsidP="00271E88">
            <w:pPr>
              <w:rPr>
                <w:b/>
                <w:sz w:val="22"/>
              </w:rPr>
            </w:pPr>
            <w:proofErr w:type="spellStart"/>
            <w:r w:rsidRPr="006D5D46">
              <w:rPr>
                <w:b/>
                <w:sz w:val="22"/>
              </w:rPr>
              <w:t>USt</w:t>
            </w:r>
            <w:proofErr w:type="spellEnd"/>
            <w:r w:rsidRPr="006D5D46">
              <w:rPr>
                <w:b/>
                <w:sz w:val="22"/>
              </w:rPr>
              <w:t xml:space="preserve"> Satz</w:t>
            </w:r>
          </w:p>
        </w:tc>
      </w:tr>
      <w:tr w:rsidR="00DA0D41" w:rsidRPr="006D5D46" w:rsidTr="00271E88">
        <w:tc>
          <w:tcPr>
            <w:tcW w:w="2027" w:type="dxa"/>
          </w:tcPr>
          <w:p w:rsidR="00DA0D41" w:rsidRPr="006D5D46" w:rsidRDefault="00DA0D41" w:rsidP="00271E88">
            <w:pPr>
              <w:rPr>
                <w:sz w:val="22"/>
              </w:rPr>
            </w:pPr>
            <w:r w:rsidRPr="006D5D46">
              <w:rPr>
                <w:sz w:val="22"/>
              </w:rPr>
              <w:t>20001</w:t>
            </w:r>
          </w:p>
        </w:tc>
        <w:tc>
          <w:tcPr>
            <w:tcW w:w="3751" w:type="dxa"/>
          </w:tcPr>
          <w:p w:rsidR="00DA0D41" w:rsidRPr="006D5D46" w:rsidRDefault="00DA0D41" w:rsidP="00271E88">
            <w:pPr>
              <w:rPr>
                <w:sz w:val="22"/>
              </w:rPr>
            </w:pPr>
            <w:r w:rsidRPr="006D5D46">
              <w:rPr>
                <w:sz w:val="22"/>
              </w:rPr>
              <w:t>Forderungen Jahreskartenbesitzer</w:t>
            </w:r>
          </w:p>
        </w:tc>
        <w:tc>
          <w:tcPr>
            <w:tcW w:w="1985" w:type="dxa"/>
          </w:tcPr>
          <w:p w:rsidR="00DA0D41" w:rsidRPr="006D5D46" w:rsidRDefault="00DA0D41" w:rsidP="00271E88">
            <w:pPr>
              <w:jc w:val="right"/>
              <w:rPr>
                <w:sz w:val="22"/>
              </w:rPr>
            </w:pPr>
            <w:r w:rsidRPr="006D5D46">
              <w:rPr>
                <w:sz w:val="22"/>
              </w:rPr>
              <w:t>352.450</w:t>
            </w:r>
            <w:r>
              <w:rPr>
                <w:sz w:val="22"/>
              </w:rPr>
              <w:t>,00</w:t>
            </w:r>
          </w:p>
        </w:tc>
        <w:tc>
          <w:tcPr>
            <w:tcW w:w="1275" w:type="dxa"/>
          </w:tcPr>
          <w:p w:rsidR="00DA0D41" w:rsidRPr="006D5D46" w:rsidRDefault="00DA0D41" w:rsidP="00271E88">
            <w:pPr>
              <w:jc w:val="center"/>
              <w:rPr>
                <w:sz w:val="22"/>
              </w:rPr>
            </w:pPr>
            <w:r w:rsidRPr="006D5D46">
              <w:rPr>
                <w:sz w:val="22"/>
              </w:rPr>
              <w:t>10%</w:t>
            </w:r>
          </w:p>
        </w:tc>
      </w:tr>
      <w:tr w:rsidR="00DA0D41" w:rsidRPr="006D5D46" w:rsidTr="00271E88">
        <w:tc>
          <w:tcPr>
            <w:tcW w:w="2027" w:type="dxa"/>
          </w:tcPr>
          <w:p w:rsidR="00DA0D41" w:rsidRPr="006D5D46" w:rsidRDefault="00DA0D41" w:rsidP="00271E88">
            <w:pPr>
              <w:rPr>
                <w:sz w:val="22"/>
              </w:rPr>
            </w:pPr>
            <w:r w:rsidRPr="006D5D46">
              <w:rPr>
                <w:sz w:val="22"/>
              </w:rPr>
              <w:t>20013</w:t>
            </w:r>
          </w:p>
        </w:tc>
        <w:tc>
          <w:tcPr>
            <w:tcW w:w="3751" w:type="dxa"/>
          </w:tcPr>
          <w:p w:rsidR="00DA0D41" w:rsidRPr="006D5D46" w:rsidRDefault="00DA0D41" w:rsidP="00271E88">
            <w:pPr>
              <w:rPr>
                <w:sz w:val="22"/>
              </w:rPr>
            </w:pPr>
            <w:r w:rsidRPr="006D5D46">
              <w:rPr>
                <w:sz w:val="22"/>
              </w:rPr>
              <w:t xml:space="preserve">Reisebüro Neusiedlersee Tourismus OG in </w:t>
            </w:r>
            <w:proofErr w:type="spellStart"/>
            <w:r w:rsidRPr="006D5D46">
              <w:rPr>
                <w:sz w:val="22"/>
              </w:rPr>
              <w:t>Mörbisch</w:t>
            </w:r>
            <w:proofErr w:type="spellEnd"/>
          </w:p>
        </w:tc>
        <w:tc>
          <w:tcPr>
            <w:tcW w:w="1985" w:type="dxa"/>
          </w:tcPr>
          <w:p w:rsidR="00DA0D41" w:rsidRPr="006D5D46" w:rsidRDefault="00DA0D41" w:rsidP="00271E88">
            <w:pPr>
              <w:jc w:val="right"/>
              <w:rPr>
                <w:sz w:val="22"/>
              </w:rPr>
            </w:pPr>
            <w:r w:rsidRPr="006D5D46">
              <w:rPr>
                <w:sz w:val="22"/>
              </w:rPr>
              <w:t>5.000</w:t>
            </w:r>
            <w:r>
              <w:rPr>
                <w:sz w:val="22"/>
              </w:rPr>
              <w:t>,00</w:t>
            </w:r>
          </w:p>
        </w:tc>
        <w:tc>
          <w:tcPr>
            <w:tcW w:w="1275" w:type="dxa"/>
          </w:tcPr>
          <w:p w:rsidR="00DA0D41" w:rsidRPr="006D5D46" w:rsidRDefault="00DA0D41" w:rsidP="00271E88">
            <w:pPr>
              <w:jc w:val="center"/>
              <w:rPr>
                <w:sz w:val="22"/>
              </w:rPr>
            </w:pPr>
            <w:r w:rsidRPr="006D5D46">
              <w:rPr>
                <w:sz w:val="22"/>
              </w:rPr>
              <w:t>20%</w:t>
            </w:r>
          </w:p>
        </w:tc>
      </w:tr>
      <w:tr w:rsidR="00DA0D41" w:rsidRPr="006D5D46" w:rsidTr="00271E88">
        <w:tc>
          <w:tcPr>
            <w:tcW w:w="2027" w:type="dxa"/>
          </w:tcPr>
          <w:p w:rsidR="00DA0D41" w:rsidRPr="006D5D46" w:rsidRDefault="00DA0D41" w:rsidP="00271E88">
            <w:pPr>
              <w:rPr>
                <w:sz w:val="22"/>
              </w:rPr>
            </w:pPr>
            <w:r w:rsidRPr="006D5D46">
              <w:rPr>
                <w:sz w:val="22"/>
              </w:rPr>
              <w:t>20034</w:t>
            </w:r>
          </w:p>
        </w:tc>
        <w:tc>
          <w:tcPr>
            <w:tcW w:w="3751" w:type="dxa"/>
          </w:tcPr>
          <w:p w:rsidR="00DA0D41" w:rsidRPr="006D5D46" w:rsidRDefault="00DA0D41" w:rsidP="00271E88">
            <w:pPr>
              <w:rPr>
                <w:sz w:val="22"/>
              </w:rPr>
            </w:pPr>
            <w:r w:rsidRPr="006D5D46">
              <w:rPr>
                <w:sz w:val="22"/>
              </w:rPr>
              <w:t>Seehotel Zum Storch GmbH in Rust</w:t>
            </w:r>
          </w:p>
        </w:tc>
        <w:tc>
          <w:tcPr>
            <w:tcW w:w="1985" w:type="dxa"/>
          </w:tcPr>
          <w:p w:rsidR="00DA0D41" w:rsidRPr="006D5D46" w:rsidRDefault="00DA0D41" w:rsidP="00271E88">
            <w:pPr>
              <w:jc w:val="right"/>
              <w:rPr>
                <w:sz w:val="22"/>
              </w:rPr>
            </w:pPr>
            <w:r w:rsidRPr="006D5D46">
              <w:rPr>
                <w:sz w:val="22"/>
              </w:rPr>
              <w:t>2.250</w:t>
            </w:r>
            <w:r>
              <w:rPr>
                <w:sz w:val="22"/>
              </w:rPr>
              <w:t>,00</w:t>
            </w:r>
          </w:p>
        </w:tc>
        <w:tc>
          <w:tcPr>
            <w:tcW w:w="1275" w:type="dxa"/>
          </w:tcPr>
          <w:p w:rsidR="00DA0D41" w:rsidRPr="006D5D46" w:rsidRDefault="00DA0D41" w:rsidP="00271E88">
            <w:pPr>
              <w:jc w:val="center"/>
              <w:rPr>
                <w:sz w:val="22"/>
              </w:rPr>
            </w:pPr>
            <w:r w:rsidRPr="006D5D46">
              <w:rPr>
                <w:sz w:val="22"/>
              </w:rPr>
              <w:t>20%</w:t>
            </w:r>
          </w:p>
        </w:tc>
      </w:tr>
    </w:tbl>
    <w:p w:rsidR="00DA0D41" w:rsidRPr="006D5D46" w:rsidRDefault="00DA0D41" w:rsidP="00DA0D41">
      <w:pPr>
        <w:jc w:val="right"/>
        <w:rPr>
          <w:sz w:val="22"/>
        </w:rPr>
      </w:pPr>
    </w:p>
    <w:p w:rsidR="00DA0D41" w:rsidRPr="006D5D46" w:rsidRDefault="00DA0D41" w:rsidP="00DA0D41">
      <w:pPr>
        <w:spacing w:line="276" w:lineRule="auto"/>
        <w:rPr>
          <w:sz w:val="22"/>
          <w:u w:val="single"/>
        </w:rPr>
      </w:pPr>
      <w:r w:rsidRPr="006D5D46">
        <w:rPr>
          <w:sz w:val="22"/>
          <w:u w:val="single"/>
        </w:rPr>
        <w:t>Die Überprüfung unserer Forderungen ergab folgendes Bild:</w:t>
      </w:r>
    </w:p>
    <w:p w:rsidR="00DA0D41" w:rsidRPr="006D5D46" w:rsidRDefault="00DA0D41" w:rsidP="00DA0D41">
      <w:pPr>
        <w:spacing w:line="276" w:lineRule="auto"/>
        <w:rPr>
          <w:sz w:val="22"/>
        </w:rPr>
      </w:pPr>
    </w:p>
    <w:p w:rsidR="00DA0D41" w:rsidRPr="006D5D46" w:rsidRDefault="00DA0D41" w:rsidP="00DA0D41">
      <w:pPr>
        <w:pStyle w:val="Listenabsatz"/>
        <w:spacing w:after="200" w:line="276" w:lineRule="auto"/>
        <w:jc w:val="both"/>
        <w:rPr>
          <w:sz w:val="22"/>
        </w:rPr>
      </w:pPr>
    </w:p>
    <w:p w:rsidR="00DA0D41" w:rsidRPr="006D5D46" w:rsidRDefault="00DA0D41" w:rsidP="00DA0D41">
      <w:pPr>
        <w:pStyle w:val="Listenabsatz"/>
        <w:numPr>
          <w:ilvl w:val="0"/>
          <w:numId w:val="5"/>
        </w:numPr>
        <w:spacing w:after="200" w:line="276" w:lineRule="auto"/>
        <w:jc w:val="both"/>
        <w:rPr>
          <w:sz w:val="22"/>
        </w:rPr>
      </w:pPr>
      <w:r w:rsidRPr="006D5D46">
        <w:rPr>
          <w:sz w:val="22"/>
        </w:rPr>
        <w:t xml:space="preserve">Mitte Dezember </w:t>
      </w:r>
      <w:proofErr w:type="gramStart"/>
      <w:r w:rsidRPr="006D5D46">
        <w:rPr>
          <w:sz w:val="22"/>
        </w:rPr>
        <w:t>20</w:t>
      </w:r>
      <w:r>
        <w:rPr>
          <w:sz w:val="22"/>
        </w:rPr>
        <w:t>..</w:t>
      </w:r>
      <w:proofErr w:type="gramEnd"/>
      <w:r w:rsidRPr="006D5D46">
        <w:rPr>
          <w:sz w:val="22"/>
        </w:rPr>
        <w:t xml:space="preserve"> haben wir eine Nachricht per Post zugestellt bekommen, die unseren Kunden 20034 betrifft:</w:t>
      </w:r>
    </w:p>
    <w:p w:rsidR="00DA0D41" w:rsidRPr="006D5D46" w:rsidRDefault="00DA0D41" w:rsidP="00DA0D41">
      <w:pPr>
        <w:pStyle w:val="Listenabsatz"/>
        <w:rPr>
          <w:sz w:val="22"/>
        </w:rPr>
      </w:pPr>
    </w:p>
    <w:p w:rsidR="00DA0D41" w:rsidRPr="006D5D46" w:rsidRDefault="00DA0D41" w:rsidP="00DA0D41">
      <w:pPr>
        <w:pStyle w:val="Listenabsatz"/>
        <w:pBdr>
          <w:top w:val="single" w:sz="4" w:space="1" w:color="auto"/>
          <w:left w:val="single" w:sz="4" w:space="1" w:color="auto"/>
          <w:bottom w:val="single" w:sz="4" w:space="1" w:color="auto"/>
          <w:right w:val="single" w:sz="4" w:space="4" w:color="auto"/>
        </w:pBdr>
        <w:jc w:val="center"/>
        <w:rPr>
          <w:sz w:val="22"/>
        </w:rPr>
      </w:pPr>
      <w:r w:rsidRPr="006D5D46">
        <w:rPr>
          <w:sz w:val="22"/>
        </w:rPr>
        <w:t>LG Eisenstadt (729), Aktenzeichen 32 S 239/10y</w:t>
      </w:r>
      <w:r w:rsidRPr="006D5D46">
        <w:rPr>
          <w:sz w:val="22"/>
        </w:rPr>
        <w:br/>
        <w:t>Konkursverfahren</w:t>
      </w:r>
    </w:p>
    <w:p w:rsidR="00DA0D41" w:rsidRPr="006D5D46" w:rsidRDefault="00DA0D41" w:rsidP="00DA0D41">
      <w:pPr>
        <w:pStyle w:val="Listenabsatz"/>
        <w:pBdr>
          <w:top w:val="single" w:sz="4" w:space="1" w:color="auto"/>
          <w:left w:val="single" w:sz="4" w:space="1" w:color="auto"/>
          <w:bottom w:val="single" w:sz="4" w:space="1" w:color="auto"/>
          <w:right w:val="single" w:sz="4" w:space="4" w:color="auto"/>
        </w:pBdr>
        <w:jc w:val="center"/>
        <w:rPr>
          <w:sz w:val="22"/>
        </w:rPr>
      </w:pPr>
      <w:r w:rsidRPr="006D5D46">
        <w:rPr>
          <w:sz w:val="22"/>
        </w:rPr>
        <w:t>Bekannt gemacht am 12.12.</w:t>
      </w:r>
      <w:proofErr w:type="gramStart"/>
      <w:r w:rsidRPr="006D5D46">
        <w:rPr>
          <w:sz w:val="22"/>
        </w:rPr>
        <w:t>20</w:t>
      </w:r>
      <w:r>
        <w:rPr>
          <w:sz w:val="22"/>
        </w:rPr>
        <w:t>..</w:t>
      </w:r>
      <w:proofErr w:type="gramEnd"/>
    </w:p>
    <w:p w:rsidR="00DA0D41" w:rsidRPr="006D5D46" w:rsidRDefault="00DA0D41" w:rsidP="00DA0D41">
      <w:pPr>
        <w:pStyle w:val="Listenabsatz"/>
        <w:pBdr>
          <w:top w:val="single" w:sz="4" w:space="1" w:color="auto"/>
          <w:left w:val="single" w:sz="4" w:space="1" w:color="auto"/>
          <w:bottom w:val="single" w:sz="4" w:space="1" w:color="auto"/>
          <w:right w:val="single" w:sz="4" w:space="4" w:color="auto"/>
        </w:pBdr>
        <w:jc w:val="center"/>
        <w:rPr>
          <w:b/>
          <w:sz w:val="22"/>
        </w:rPr>
      </w:pPr>
      <w:r w:rsidRPr="006D5D46">
        <w:rPr>
          <w:b/>
          <w:sz w:val="22"/>
        </w:rPr>
        <w:t>Schuldner</w:t>
      </w:r>
    </w:p>
    <w:p w:rsidR="00DA0D41" w:rsidRPr="006D5D46" w:rsidRDefault="00DA0D41" w:rsidP="00DA0D41">
      <w:pPr>
        <w:pStyle w:val="Listenabsatz"/>
        <w:pBdr>
          <w:top w:val="single" w:sz="4" w:space="1" w:color="auto"/>
          <w:left w:val="single" w:sz="4" w:space="1" w:color="auto"/>
          <w:bottom w:val="single" w:sz="4" w:space="1" w:color="auto"/>
          <w:right w:val="single" w:sz="4" w:space="4" w:color="auto"/>
        </w:pBdr>
        <w:jc w:val="center"/>
        <w:rPr>
          <w:sz w:val="22"/>
        </w:rPr>
      </w:pPr>
      <w:r w:rsidRPr="006D5D46">
        <w:rPr>
          <w:sz w:val="22"/>
        </w:rPr>
        <w:t>Seehotel zum Storch GmbH, Seeweg 12, 7071 Rust</w:t>
      </w:r>
    </w:p>
    <w:p w:rsidR="00DA0D41" w:rsidRPr="006D5D46" w:rsidRDefault="00DA0D41" w:rsidP="00DA0D41">
      <w:pPr>
        <w:pStyle w:val="Listenabsatz"/>
        <w:pBdr>
          <w:top w:val="single" w:sz="4" w:space="1" w:color="auto"/>
          <w:left w:val="single" w:sz="4" w:space="1" w:color="auto"/>
          <w:bottom w:val="single" w:sz="4" w:space="1" w:color="auto"/>
          <w:right w:val="single" w:sz="4" w:space="4" w:color="auto"/>
        </w:pBdr>
        <w:jc w:val="center"/>
        <w:rPr>
          <w:sz w:val="22"/>
        </w:rPr>
      </w:pPr>
      <w:r w:rsidRPr="006D5D46">
        <w:rPr>
          <w:sz w:val="22"/>
        </w:rPr>
        <w:t>Das Insolvenzverfahren wird mangels Kostendeckung nicht eröffnet.</w:t>
      </w:r>
    </w:p>
    <w:p w:rsidR="00DA0D41" w:rsidRPr="006D5D46" w:rsidRDefault="00DA0D41" w:rsidP="00DA0D41">
      <w:pPr>
        <w:pStyle w:val="Listenabsatz"/>
        <w:pBdr>
          <w:top w:val="single" w:sz="4" w:space="1" w:color="auto"/>
          <w:left w:val="single" w:sz="4" w:space="1" w:color="auto"/>
          <w:bottom w:val="single" w:sz="4" w:space="1" w:color="auto"/>
          <w:right w:val="single" w:sz="4" w:space="4" w:color="auto"/>
        </w:pBdr>
        <w:jc w:val="center"/>
        <w:rPr>
          <w:sz w:val="22"/>
        </w:rPr>
      </w:pPr>
      <w:r w:rsidRPr="006D5D46">
        <w:rPr>
          <w:sz w:val="22"/>
        </w:rPr>
        <w:t>Der Schuldner ist zahlungsunfähig.</w:t>
      </w:r>
    </w:p>
    <w:p w:rsidR="00DA0D41" w:rsidRPr="006D5D46" w:rsidRDefault="00DA0D41" w:rsidP="00DA0D41">
      <w:pPr>
        <w:pStyle w:val="Listenabsatz"/>
        <w:pBdr>
          <w:top w:val="single" w:sz="4" w:space="1" w:color="auto"/>
          <w:left w:val="single" w:sz="4" w:space="1" w:color="auto"/>
          <w:bottom w:val="single" w:sz="4" w:space="1" w:color="auto"/>
          <w:right w:val="single" w:sz="4" w:space="4" w:color="auto"/>
        </w:pBdr>
        <w:jc w:val="center"/>
        <w:rPr>
          <w:sz w:val="22"/>
        </w:rPr>
      </w:pPr>
      <w:r w:rsidRPr="006D5D46">
        <w:rPr>
          <w:sz w:val="22"/>
        </w:rPr>
        <w:t>Beschluss vom 10.12.</w:t>
      </w:r>
      <w:proofErr w:type="gramStart"/>
      <w:r w:rsidRPr="006D5D46">
        <w:rPr>
          <w:sz w:val="22"/>
        </w:rPr>
        <w:t>20</w:t>
      </w:r>
      <w:r>
        <w:rPr>
          <w:sz w:val="22"/>
        </w:rPr>
        <w:t>..</w:t>
      </w:r>
      <w:proofErr w:type="gramEnd"/>
    </w:p>
    <w:p w:rsidR="00DA0D41" w:rsidRPr="006D5D46" w:rsidRDefault="00DA0D41" w:rsidP="00DA0D41">
      <w:pPr>
        <w:pStyle w:val="Listenabsatz"/>
        <w:rPr>
          <w:sz w:val="22"/>
        </w:rPr>
      </w:pPr>
    </w:p>
    <w:p w:rsidR="00894667" w:rsidRDefault="002114AD"/>
    <w:p w:rsidR="003F3708" w:rsidRDefault="003F3708"/>
    <w:sectPr w:rsidR="003F3708" w:rsidSect="00BB674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19D0"/>
    <w:multiLevelType w:val="hybridMultilevel"/>
    <w:tmpl w:val="E056F2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1BA2EF8"/>
    <w:multiLevelType w:val="hybridMultilevel"/>
    <w:tmpl w:val="37B69C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45E1147"/>
    <w:multiLevelType w:val="hybridMultilevel"/>
    <w:tmpl w:val="ED16049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4BA12175"/>
    <w:multiLevelType w:val="hybridMultilevel"/>
    <w:tmpl w:val="69545A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AE7249C"/>
    <w:multiLevelType w:val="hybridMultilevel"/>
    <w:tmpl w:val="3FD2D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57137F7"/>
    <w:multiLevelType w:val="hybridMultilevel"/>
    <w:tmpl w:val="2910C4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81046D5"/>
    <w:multiLevelType w:val="hybridMultilevel"/>
    <w:tmpl w:val="63BA2D6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41"/>
    <w:rsid w:val="002114AD"/>
    <w:rsid w:val="003F3708"/>
    <w:rsid w:val="0052150B"/>
    <w:rsid w:val="00793B59"/>
    <w:rsid w:val="00BB674D"/>
    <w:rsid w:val="00DA0D41"/>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C224"/>
  <w15:chartTrackingRefBased/>
  <w15:docId w15:val="{AD233D53-6FD4-0248-8134-5252D715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A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0D41"/>
    <w:rPr>
      <w:rFonts w:ascii="Verdana" w:hAnsi="Verdana"/>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0D41"/>
    <w:pPr>
      <w:ind w:left="720"/>
      <w:contextualSpacing/>
    </w:pPr>
  </w:style>
  <w:style w:type="table" w:styleId="Tabellenraster">
    <w:name w:val="Table Grid"/>
    <w:basedOn w:val="NormaleTabelle"/>
    <w:uiPriority w:val="59"/>
    <w:rsid w:val="00DA0D41"/>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1039</Words>
  <Characters>6551</Characters>
  <Application>Microsoft Office Word</Application>
  <DocSecurity>0</DocSecurity>
  <Lines>54</Lines>
  <Paragraphs>15</Paragraphs>
  <ScaleCrop>false</ScaleCrop>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Holzheu</dc:creator>
  <cp:keywords/>
  <dc:description/>
  <cp:lastModifiedBy>Werner Holzheu</cp:lastModifiedBy>
  <cp:revision>4</cp:revision>
  <dcterms:created xsi:type="dcterms:W3CDTF">2020-09-28T12:57:00Z</dcterms:created>
  <dcterms:modified xsi:type="dcterms:W3CDTF">2020-09-28T13:12:00Z</dcterms:modified>
</cp:coreProperties>
</file>