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491AB" w14:textId="77777777" w:rsidR="002D0984" w:rsidRPr="009D4E6F" w:rsidRDefault="002D0984" w:rsidP="002D0984">
      <w:pPr>
        <w:rPr>
          <w:rFonts w:ascii="Tahoma" w:hAnsi="Tahoma" w:cs="Tahoma"/>
          <w:b/>
          <w:color w:val="666699"/>
        </w:rPr>
      </w:pPr>
    </w:p>
    <w:p w14:paraId="01853520" w14:textId="77777777" w:rsidR="002D0984" w:rsidRDefault="002D0984" w:rsidP="002D0984">
      <w:pPr>
        <w:rPr>
          <w:rFonts w:ascii="Tahoma" w:hAnsi="Tahoma" w:cs="Tahoma"/>
          <w:color w:val="333399"/>
        </w:rPr>
      </w:pPr>
    </w:p>
    <w:tbl>
      <w:tblPr>
        <w:tblW w:w="1050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67"/>
        <w:gridCol w:w="2538"/>
        <w:gridCol w:w="2537"/>
        <w:gridCol w:w="18"/>
        <w:gridCol w:w="720"/>
        <w:gridCol w:w="450"/>
        <w:gridCol w:w="450"/>
        <w:gridCol w:w="450"/>
        <w:gridCol w:w="450"/>
      </w:tblGrid>
      <w:tr w:rsidR="002D0984" w14:paraId="40EFC45C" w14:textId="77777777" w:rsidTr="00FB632A">
        <w:tc>
          <w:tcPr>
            <w:tcW w:w="2226" w:type="dxa"/>
          </w:tcPr>
          <w:p w14:paraId="6E53C498" w14:textId="77777777" w:rsidR="002D0984" w:rsidRDefault="002D0984" w:rsidP="00FB632A">
            <w:pPr>
              <w:pStyle w:val="Kopfzeile"/>
              <w:tabs>
                <w:tab w:val="clear" w:pos="4536"/>
                <w:tab w:val="clear" w:pos="9072"/>
                <w:tab w:val="left" w:pos="0"/>
              </w:tabs>
              <w:jc w:val="center"/>
              <w:rPr>
                <w:rFonts w:ascii="Century Gothic" w:hAnsi="Century Gothic"/>
                <w:sz w:val="18"/>
                <w:szCs w:val="18"/>
              </w:rPr>
            </w:pPr>
            <w:r>
              <w:rPr>
                <w:rFonts w:ascii="Century Gothic" w:hAnsi="Century Gothic"/>
                <w:noProof/>
                <w:sz w:val="18"/>
                <w:szCs w:val="18"/>
              </w:rPr>
              <w:drawing>
                <wp:inline distT="0" distB="0" distL="0" distR="0" wp14:anchorId="170440BA" wp14:editId="1933E1E2">
                  <wp:extent cx="762000" cy="774700"/>
                  <wp:effectExtent l="0" t="0" r="0" b="12700"/>
                  <wp:docPr id="19" name="Bild 1" descr="Bergheidengasse_neu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rgheidengasse_neu_mit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tc>
        <w:tc>
          <w:tcPr>
            <w:tcW w:w="5760" w:type="dxa"/>
            <w:gridSpan w:val="4"/>
            <w:vAlign w:val="center"/>
          </w:tcPr>
          <w:p w14:paraId="1EA9EF5C" w14:textId="77777777" w:rsidR="002D0984" w:rsidRDefault="002D0984" w:rsidP="00FB632A">
            <w:pPr>
              <w:jc w:val="center"/>
              <w:rPr>
                <w:rFonts w:ascii="Century Gothic" w:hAnsi="Century Gothic"/>
                <w:szCs w:val="22"/>
              </w:rPr>
            </w:pPr>
            <w:r>
              <w:rPr>
                <w:rFonts w:ascii="Century Gothic" w:hAnsi="Century Gothic"/>
                <w:szCs w:val="22"/>
              </w:rPr>
              <w:t>Offenes Lernen:</w:t>
            </w:r>
            <w:r>
              <w:rPr>
                <w:rFonts w:ascii="Century Gothic" w:hAnsi="Century Gothic"/>
                <w:szCs w:val="22"/>
              </w:rPr>
              <w:br/>
              <w:t>Arbeitsauftrag</w:t>
            </w:r>
          </w:p>
        </w:tc>
        <w:tc>
          <w:tcPr>
            <w:tcW w:w="2520" w:type="dxa"/>
            <w:gridSpan w:val="5"/>
          </w:tcPr>
          <w:p w14:paraId="78507043" w14:textId="77777777" w:rsidR="002D0984" w:rsidRDefault="002D0984" w:rsidP="00FB632A">
            <w:pPr>
              <w:pStyle w:val="berschrift1"/>
              <w:rPr>
                <w:rFonts w:ascii="Century Gothic" w:hAnsi="Century Gothic"/>
                <w:szCs w:val="22"/>
              </w:rPr>
            </w:pPr>
            <w:r>
              <w:rPr>
                <w:rFonts w:ascii="Century Gothic" w:hAnsi="Century Gothic"/>
                <w:noProof/>
                <w:szCs w:val="22"/>
                <w:lang w:val="de-DE"/>
              </w:rPr>
              <w:drawing>
                <wp:inline distT="0" distB="0" distL="0" distR="0" wp14:anchorId="766D6B6C" wp14:editId="5EBF03A5">
                  <wp:extent cx="777875" cy="619125"/>
                  <wp:effectExtent l="0" t="0" r="9525" b="0"/>
                  <wp:docPr id="20" name="Bild 2" descr="Logo Cool Googl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ol Google horizontal"/>
                          <pic:cNvPicPr>
                            <a:picLocks noChangeAspect="1" noChangeArrowheads="1"/>
                          </pic:cNvPicPr>
                        </pic:nvPicPr>
                        <pic:blipFill>
                          <a:blip r:embed="rId9">
                            <a:extLst>
                              <a:ext uri="{28A0092B-C50C-407E-A947-70E740481C1C}">
                                <a14:useLocalDpi xmlns:a14="http://schemas.microsoft.com/office/drawing/2010/main" val="0"/>
                              </a:ext>
                            </a:extLst>
                          </a:blip>
                          <a:srcRect l="17836" t="33464" r="16360" b="28851"/>
                          <a:stretch>
                            <a:fillRect/>
                          </a:stretch>
                        </pic:blipFill>
                        <pic:spPr bwMode="auto">
                          <a:xfrm>
                            <a:off x="0" y="0"/>
                            <a:ext cx="777875" cy="619125"/>
                          </a:xfrm>
                          <a:prstGeom prst="rect">
                            <a:avLst/>
                          </a:prstGeom>
                          <a:noFill/>
                          <a:ln>
                            <a:noFill/>
                          </a:ln>
                        </pic:spPr>
                      </pic:pic>
                    </a:graphicData>
                  </a:graphic>
                </wp:inline>
              </w:drawing>
            </w:r>
          </w:p>
        </w:tc>
      </w:tr>
      <w:tr w:rsidR="002D0984" w:rsidRPr="000A3F1B" w14:paraId="3759A72C" w14:textId="77777777" w:rsidTr="00FB632A">
        <w:trPr>
          <w:cantSplit/>
        </w:trPr>
        <w:tc>
          <w:tcPr>
            <w:tcW w:w="2226" w:type="dxa"/>
            <w:vMerge w:val="restart"/>
            <w:vAlign w:val="center"/>
          </w:tcPr>
          <w:p w14:paraId="494CC760" w14:textId="61B21E64" w:rsidR="002D0984" w:rsidRPr="000A3F1B" w:rsidRDefault="00B90940" w:rsidP="00FB632A">
            <w:pPr>
              <w:pStyle w:val="Kopfzeile"/>
              <w:tabs>
                <w:tab w:val="clear" w:pos="4536"/>
                <w:tab w:val="clear" w:pos="9072"/>
                <w:tab w:val="left" w:pos="0"/>
              </w:tabs>
              <w:jc w:val="center"/>
              <w:rPr>
                <w:rFonts w:asciiTheme="majorHAnsi" w:hAnsiTheme="majorHAnsi"/>
                <w:sz w:val="28"/>
                <w:szCs w:val="28"/>
                <w:lang w:val="it-IT"/>
              </w:rPr>
            </w:pPr>
            <w:r>
              <w:rPr>
                <w:rFonts w:asciiTheme="majorHAnsi" w:hAnsiTheme="majorHAnsi"/>
                <w:b/>
                <w:bCs/>
                <w:sz w:val="28"/>
                <w:szCs w:val="28"/>
                <w:lang w:val="it-IT"/>
              </w:rPr>
              <w:t>2</w:t>
            </w:r>
            <w:r w:rsidR="002D0984">
              <w:rPr>
                <w:rFonts w:asciiTheme="majorHAnsi" w:hAnsiTheme="majorHAnsi"/>
                <w:b/>
                <w:bCs/>
                <w:sz w:val="28"/>
                <w:szCs w:val="28"/>
                <w:lang w:val="it-IT"/>
              </w:rPr>
              <w:t xml:space="preserve"> H</w:t>
            </w:r>
            <w:r>
              <w:rPr>
                <w:rFonts w:asciiTheme="majorHAnsi" w:hAnsiTheme="majorHAnsi"/>
                <w:b/>
                <w:bCs/>
                <w:sz w:val="28"/>
                <w:szCs w:val="28"/>
                <w:lang w:val="it-IT"/>
              </w:rPr>
              <w:t>LW</w:t>
            </w:r>
          </w:p>
        </w:tc>
        <w:tc>
          <w:tcPr>
            <w:tcW w:w="5760" w:type="dxa"/>
            <w:gridSpan w:val="4"/>
          </w:tcPr>
          <w:p w14:paraId="35C356A9" w14:textId="2FC50ED5" w:rsidR="002D0984" w:rsidRPr="000A3F1B" w:rsidRDefault="00701D8D" w:rsidP="00B90940">
            <w:pPr>
              <w:jc w:val="center"/>
              <w:rPr>
                <w:rFonts w:asciiTheme="majorHAnsi" w:hAnsiTheme="majorHAnsi"/>
                <w:szCs w:val="22"/>
              </w:rPr>
            </w:pPr>
            <w:r>
              <w:rPr>
                <w:rFonts w:asciiTheme="majorHAnsi" w:hAnsiTheme="majorHAnsi"/>
                <w:szCs w:val="22"/>
              </w:rPr>
              <w:t xml:space="preserve">Kaufvertrag: </w:t>
            </w:r>
            <w:r w:rsidR="00B90940">
              <w:rPr>
                <w:rFonts w:asciiTheme="majorHAnsi" w:hAnsiTheme="majorHAnsi"/>
                <w:szCs w:val="22"/>
              </w:rPr>
              <w:t>Unternehmenskrisen am Beispiel von Niemetz</w:t>
            </w:r>
          </w:p>
        </w:tc>
        <w:tc>
          <w:tcPr>
            <w:tcW w:w="2520" w:type="dxa"/>
            <w:gridSpan w:val="5"/>
            <w:vMerge w:val="restart"/>
          </w:tcPr>
          <w:p w14:paraId="21E05CED" w14:textId="77777777" w:rsidR="002D0984" w:rsidRPr="000A3F1B" w:rsidRDefault="002D0984" w:rsidP="00FB632A">
            <w:pPr>
              <w:pStyle w:val="berschrift1"/>
              <w:rPr>
                <w:rFonts w:asciiTheme="majorHAnsi" w:hAnsiTheme="majorHAnsi"/>
                <w:szCs w:val="22"/>
                <w:lang w:val="de-DE"/>
              </w:rPr>
            </w:pPr>
            <w:r>
              <w:rPr>
                <w:rFonts w:asciiTheme="majorHAnsi" w:hAnsiTheme="majorHAnsi"/>
                <w:szCs w:val="22"/>
                <w:lang w:val="de-DE"/>
              </w:rPr>
              <w:t>Schuljahr:</w:t>
            </w:r>
            <w:r>
              <w:rPr>
                <w:rFonts w:asciiTheme="majorHAnsi" w:hAnsiTheme="majorHAnsi"/>
                <w:szCs w:val="22"/>
                <w:lang w:val="de-DE"/>
              </w:rPr>
              <w:br/>
              <w:t>2016/2017</w:t>
            </w:r>
          </w:p>
        </w:tc>
      </w:tr>
      <w:tr w:rsidR="002D0984" w:rsidRPr="000A3F1B" w14:paraId="1BBE7904" w14:textId="77777777" w:rsidTr="00FB632A">
        <w:trPr>
          <w:cantSplit/>
        </w:trPr>
        <w:tc>
          <w:tcPr>
            <w:tcW w:w="2226" w:type="dxa"/>
            <w:vMerge/>
          </w:tcPr>
          <w:p w14:paraId="056F09DF" w14:textId="77777777" w:rsidR="002D0984" w:rsidRPr="000A3F1B" w:rsidRDefault="002D0984" w:rsidP="00FB632A">
            <w:pPr>
              <w:pStyle w:val="Kopfzeile"/>
              <w:tabs>
                <w:tab w:val="clear" w:pos="4536"/>
                <w:tab w:val="clear" w:pos="9072"/>
                <w:tab w:val="left" w:pos="0"/>
              </w:tabs>
              <w:jc w:val="center"/>
              <w:rPr>
                <w:rFonts w:asciiTheme="majorHAnsi" w:hAnsiTheme="majorHAnsi"/>
                <w:sz w:val="18"/>
                <w:szCs w:val="18"/>
              </w:rPr>
            </w:pPr>
          </w:p>
        </w:tc>
        <w:tc>
          <w:tcPr>
            <w:tcW w:w="5760" w:type="dxa"/>
            <w:gridSpan w:val="4"/>
          </w:tcPr>
          <w:p w14:paraId="0FDA5D0C" w14:textId="77777777" w:rsidR="002D0984" w:rsidRPr="000A3F1B" w:rsidRDefault="002D0984" w:rsidP="00FB632A">
            <w:pPr>
              <w:pStyle w:val="berschrift1"/>
              <w:rPr>
                <w:rFonts w:asciiTheme="majorHAnsi" w:hAnsiTheme="majorHAnsi"/>
                <w:bCs w:val="0"/>
                <w:sz w:val="10"/>
                <w:szCs w:val="10"/>
                <w:lang w:val="de-DE"/>
              </w:rPr>
            </w:pPr>
          </w:p>
          <w:p w14:paraId="47304F34" w14:textId="77777777" w:rsidR="002D0984" w:rsidRPr="000A3F1B" w:rsidRDefault="002D0984" w:rsidP="00FB632A">
            <w:pPr>
              <w:pStyle w:val="berschrift1"/>
              <w:rPr>
                <w:rFonts w:asciiTheme="majorHAnsi" w:hAnsiTheme="majorHAnsi"/>
                <w:bCs w:val="0"/>
                <w:sz w:val="20"/>
                <w:szCs w:val="22"/>
                <w:lang w:val="de-DE"/>
              </w:rPr>
            </w:pPr>
            <w:r w:rsidRPr="000A3F1B">
              <w:rPr>
                <w:rFonts w:asciiTheme="majorHAnsi" w:hAnsiTheme="majorHAnsi"/>
                <w:bCs w:val="0"/>
                <w:sz w:val="20"/>
                <w:szCs w:val="22"/>
                <w:lang w:val="de-DE"/>
              </w:rPr>
              <w:t>BVW</w:t>
            </w:r>
          </w:p>
          <w:p w14:paraId="235B606C" w14:textId="77777777" w:rsidR="002D0984" w:rsidRPr="000A3F1B" w:rsidRDefault="002D0984" w:rsidP="00FB632A">
            <w:pPr>
              <w:rPr>
                <w:rFonts w:asciiTheme="majorHAnsi" w:hAnsiTheme="majorHAnsi"/>
                <w:sz w:val="10"/>
                <w:szCs w:val="10"/>
              </w:rPr>
            </w:pPr>
          </w:p>
        </w:tc>
        <w:tc>
          <w:tcPr>
            <w:tcW w:w="2520" w:type="dxa"/>
            <w:gridSpan w:val="5"/>
            <w:vMerge/>
          </w:tcPr>
          <w:p w14:paraId="038EE39C" w14:textId="77777777" w:rsidR="002D0984" w:rsidRPr="000A3F1B" w:rsidRDefault="002D0984" w:rsidP="00FB632A">
            <w:pPr>
              <w:pStyle w:val="berschrift1"/>
              <w:rPr>
                <w:rFonts w:asciiTheme="majorHAnsi" w:hAnsiTheme="majorHAnsi"/>
                <w:szCs w:val="22"/>
                <w:lang w:val="de-DE"/>
              </w:rPr>
            </w:pPr>
          </w:p>
        </w:tc>
      </w:tr>
      <w:tr w:rsidR="002D0984" w:rsidRPr="000A3F1B" w14:paraId="7CF601FF" w14:textId="77777777" w:rsidTr="00FB632A">
        <w:trPr>
          <w:trHeight w:val="813"/>
        </w:trPr>
        <w:tc>
          <w:tcPr>
            <w:tcW w:w="2893" w:type="dxa"/>
            <w:gridSpan w:val="2"/>
          </w:tcPr>
          <w:p w14:paraId="753561C5" w14:textId="77777777" w:rsidR="002D0984" w:rsidRPr="000A3F1B" w:rsidRDefault="002D0984" w:rsidP="00FB632A">
            <w:pPr>
              <w:jc w:val="center"/>
              <w:rPr>
                <w:rFonts w:asciiTheme="majorHAnsi" w:hAnsiTheme="majorHAnsi"/>
                <w:b/>
                <w:bCs/>
                <w:i/>
                <w:iCs/>
                <w:szCs w:val="22"/>
              </w:rPr>
            </w:pPr>
          </w:p>
          <w:p w14:paraId="1BF4C22C" w14:textId="0ECA2356" w:rsidR="002D0984" w:rsidRPr="000A3F1B" w:rsidRDefault="002D0984" w:rsidP="00FB632A">
            <w:pPr>
              <w:jc w:val="center"/>
              <w:rPr>
                <w:rFonts w:asciiTheme="majorHAnsi" w:hAnsiTheme="majorHAnsi"/>
                <w:szCs w:val="22"/>
              </w:rPr>
            </w:pPr>
            <w:r w:rsidRPr="000A3F1B">
              <w:rPr>
                <w:rFonts w:asciiTheme="majorHAnsi" w:hAnsiTheme="majorHAnsi"/>
                <w:b/>
                <w:bCs/>
                <w:i/>
                <w:iCs/>
                <w:szCs w:val="22"/>
              </w:rPr>
              <w:t>Arbeitsbeginn</w:t>
            </w:r>
            <w:r w:rsidRPr="000A3F1B">
              <w:rPr>
                <w:rFonts w:asciiTheme="majorHAnsi" w:hAnsiTheme="majorHAnsi"/>
                <w:szCs w:val="22"/>
              </w:rPr>
              <w:t>:</w:t>
            </w:r>
            <w:r w:rsidR="00B90940">
              <w:rPr>
                <w:rFonts w:asciiTheme="majorHAnsi" w:hAnsiTheme="majorHAnsi"/>
                <w:szCs w:val="22"/>
              </w:rPr>
              <w:t xml:space="preserve"> 25</w:t>
            </w:r>
            <w:r w:rsidR="00701D8D">
              <w:rPr>
                <w:rFonts w:asciiTheme="majorHAnsi" w:hAnsiTheme="majorHAnsi"/>
                <w:szCs w:val="22"/>
              </w:rPr>
              <w:t>.4</w:t>
            </w:r>
            <w:r w:rsidR="009323FB">
              <w:rPr>
                <w:rFonts w:asciiTheme="majorHAnsi" w:hAnsiTheme="majorHAnsi"/>
                <w:szCs w:val="22"/>
              </w:rPr>
              <w:t>.17</w:t>
            </w:r>
          </w:p>
          <w:p w14:paraId="17C9D25A" w14:textId="77777777" w:rsidR="002D0984" w:rsidRPr="000A3F1B" w:rsidRDefault="002D0984" w:rsidP="00FB632A">
            <w:pPr>
              <w:jc w:val="center"/>
              <w:rPr>
                <w:rFonts w:asciiTheme="majorHAnsi" w:hAnsiTheme="majorHAnsi"/>
                <w:szCs w:val="22"/>
              </w:rPr>
            </w:pPr>
          </w:p>
        </w:tc>
        <w:tc>
          <w:tcPr>
            <w:tcW w:w="2538" w:type="dxa"/>
          </w:tcPr>
          <w:p w14:paraId="34977B4C" w14:textId="77777777" w:rsidR="002D0984" w:rsidRPr="000A3F1B" w:rsidRDefault="002D0984" w:rsidP="00FB632A">
            <w:pPr>
              <w:jc w:val="center"/>
              <w:rPr>
                <w:rFonts w:asciiTheme="majorHAnsi" w:hAnsiTheme="majorHAnsi"/>
                <w:b/>
                <w:bCs/>
                <w:i/>
                <w:iCs/>
                <w:szCs w:val="22"/>
              </w:rPr>
            </w:pPr>
          </w:p>
          <w:p w14:paraId="3261D9B8" w14:textId="63864D80" w:rsidR="002D0984" w:rsidRPr="000A3F1B" w:rsidRDefault="002D0984" w:rsidP="00FB632A">
            <w:pPr>
              <w:jc w:val="center"/>
              <w:rPr>
                <w:rFonts w:asciiTheme="majorHAnsi" w:hAnsiTheme="majorHAnsi"/>
                <w:szCs w:val="22"/>
              </w:rPr>
            </w:pPr>
            <w:r w:rsidRPr="000A3F1B">
              <w:rPr>
                <w:rFonts w:asciiTheme="majorHAnsi" w:hAnsiTheme="majorHAnsi"/>
                <w:b/>
                <w:bCs/>
                <w:i/>
                <w:iCs/>
                <w:szCs w:val="22"/>
              </w:rPr>
              <w:t>Fertigstellung</w:t>
            </w:r>
            <w:r w:rsidRPr="000A3F1B">
              <w:rPr>
                <w:rFonts w:asciiTheme="majorHAnsi" w:hAnsiTheme="majorHAnsi"/>
                <w:szCs w:val="22"/>
              </w:rPr>
              <w:t>:</w:t>
            </w:r>
            <w:r w:rsidR="00B90940">
              <w:rPr>
                <w:rFonts w:asciiTheme="majorHAnsi" w:hAnsiTheme="majorHAnsi"/>
                <w:szCs w:val="22"/>
              </w:rPr>
              <w:t xml:space="preserve"> 02</w:t>
            </w:r>
            <w:r w:rsidR="00701D8D">
              <w:rPr>
                <w:rFonts w:asciiTheme="majorHAnsi" w:hAnsiTheme="majorHAnsi"/>
                <w:szCs w:val="22"/>
              </w:rPr>
              <w:t>.</w:t>
            </w:r>
            <w:r w:rsidR="00B90940">
              <w:rPr>
                <w:rFonts w:asciiTheme="majorHAnsi" w:hAnsiTheme="majorHAnsi"/>
                <w:szCs w:val="22"/>
              </w:rPr>
              <w:t>0</w:t>
            </w:r>
            <w:r w:rsidR="00701D8D">
              <w:rPr>
                <w:rFonts w:asciiTheme="majorHAnsi" w:hAnsiTheme="majorHAnsi"/>
                <w:szCs w:val="22"/>
              </w:rPr>
              <w:t>5</w:t>
            </w:r>
            <w:r w:rsidR="009323FB">
              <w:rPr>
                <w:rFonts w:asciiTheme="majorHAnsi" w:hAnsiTheme="majorHAnsi"/>
                <w:szCs w:val="22"/>
              </w:rPr>
              <w:t>.17</w:t>
            </w:r>
          </w:p>
          <w:p w14:paraId="6EEA29C7" w14:textId="77777777" w:rsidR="002D0984" w:rsidRPr="000A3F1B" w:rsidRDefault="002D0984" w:rsidP="00FB632A">
            <w:pPr>
              <w:jc w:val="center"/>
              <w:rPr>
                <w:rFonts w:asciiTheme="majorHAnsi" w:hAnsiTheme="majorHAnsi"/>
                <w:szCs w:val="22"/>
              </w:rPr>
            </w:pPr>
          </w:p>
        </w:tc>
        <w:tc>
          <w:tcPr>
            <w:tcW w:w="2537" w:type="dxa"/>
          </w:tcPr>
          <w:p w14:paraId="2851B181" w14:textId="77777777" w:rsidR="002D0984" w:rsidRPr="000A3F1B" w:rsidRDefault="002D0984" w:rsidP="00FB632A">
            <w:pPr>
              <w:rPr>
                <w:rFonts w:asciiTheme="majorHAnsi" w:hAnsiTheme="majorHAnsi"/>
                <w:szCs w:val="22"/>
              </w:rPr>
            </w:pPr>
            <w:r w:rsidRPr="000A3F1B">
              <w:rPr>
                <w:rFonts w:asciiTheme="majorHAnsi" w:hAnsiTheme="majorHAnsi"/>
                <w:b/>
                <w:bCs/>
                <w:i/>
                <w:iCs/>
                <w:szCs w:val="22"/>
              </w:rPr>
              <w:t>Sozialform</w:t>
            </w:r>
            <w:r w:rsidRPr="000A3F1B">
              <w:rPr>
                <w:rFonts w:asciiTheme="majorHAnsi" w:hAnsiTheme="majorHAnsi"/>
                <w:szCs w:val="22"/>
              </w:rPr>
              <w:t>:</w:t>
            </w:r>
          </w:p>
          <w:p w14:paraId="61135F3A" w14:textId="77777777" w:rsidR="002D0984" w:rsidRPr="000A3F1B" w:rsidRDefault="002D0984" w:rsidP="00FB632A">
            <w:pPr>
              <w:rPr>
                <w:rFonts w:asciiTheme="majorHAnsi" w:hAnsiTheme="majorHAnsi"/>
                <w:sz w:val="20"/>
                <w:szCs w:val="22"/>
              </w:rPr>
            </w:pPr>
            <w:r w:rsidRPr="000A3F1B">
              <w:rPr>
                <w:rFonts w:asciiTheme="majorHAnsi" w:hAnsiTheme="majorHAnsi"/>
                <w:sz w:val="20"/>
                <w:szCs w:val="22"/>
              </w:rPr>
              <w:sym w:font="Wingdings" w:char="F04A"/>
            </w:r>
          </w:p>
          <w:p w14:paraId="3F392B35" w14:textId="77777777" w:rsidR="002D0984" w:rsidRPr="000A3F1B" w:rsidRDefault="002D0984" w:rsidP="00FB632A">
            <w:pPr>
              <w:rPr>
                <w:rFonts w:asciiTheme="majorHAnsi" w:hAnsiTheme="majorHAnsi"/>
                <w:sz w:val="20"/>
                <w:szCs w:val="22"/>
              </w:rPr>
            </w:pPr>
            <w:r w:rsidRPr="000A3F1B">
              <w:rPr>
                <w:rFonts w:asciiTheme="majorHAnsi" w:hAnsiTheme="majorHAnsi"/>
                <w:sz w:val="20"/>
                <w:szCs w:val="22"/>
              </w:rPr>
              <w:sym w:font="Wingdings" w:char="F04A"/>
            </w:r>
            <w:r w:rsidRPr="000A3F1B">
              <w:rPr>
                <w:rFonts w:asciiTheme="majorHAnsi" w:hAnsiTheme="majorHAnsi"/>
                <w:sz w:val="20"/>
                <w:szCs w:val="22"/>
              </w:rPr>
              <w:sym w:font="Wingdings" w:char="F04A"/>
            </w:r>
          </w:p>
          <w:p w14:paraId="0F3B62C1" w14:textId="77777777" w:rsidR="002D0984" w:rsidRPr="000A3F1B" w:rsidRDefault="002D0984" w:rsidP="00FB632A">
            <w:pPr>
              <w:rPr>
                <w:rFonts w:asciiTheme="majorHAnsi" w:hAnsiTheme="majorHAnsi"/>
                <w:szCs w:val="22"/>
              </w:rPr>
            </w:pPr>
            <w:r w:rsidRPr="000A3F1B">
              <w:rPr>
                <w:rFonts w:asciiTheme="majorHAnsi" w:hAnsiTheme="majorHAnsi"/>
                <w:sz w:val="20"/>
                <w:szCs w:val="22"/>
              </w:rPr>
              <w:sym w:font="Wingdings" w:char="F04A"/>
            </w:r>
            <w:r w:rsidRPr="000A3F1B">
              <w:rPr>
                <w:rFonts w:asciiTheme="majorHAnsi" w:hAnsiTheme="majorHAnsi"/>
                <w:sz w:val="20"/>
                <w:szCs w:val="22"/>
              </w:rPr>
              <w:sym w:font="Wingdings" w:char="F04A"/>
            </w:r>
            <w:r w:rsidRPr="000A3F1B">
              <w:rPr>
                <w:rFonts w:asciiTheme="majorHAnsi" w:hAnsiTheme="majorHAnsi"/>
                <w:sz w:val="20"/>
                <w:szCs w:val="22"/>
              </w:rPr>
              <w:sym w:font="Wingdings" w:char="F04A"/>
            </w:r>
            <w:r w:rsidRPr="000A3F1B">
              <w:rPr>
                <w:rFonts w:asciiTheme="majorHAnsi" w:hAnsiTheme="majorHAnsi"/>
                <w:sz w:val="20"/>
                <w:szCs w:val="22"/>
              </w:rPr>
              <w:t>… + L= mit Lehrerin</w:t>
            </w:r>
          </w:p>
        </w:tc>
        <w:tc>
          <w:tcPr>
            <w:tcW w:w="2538" w:type="dxa"/>
            <w:gridSpan w:val="6"/>
          </w:tcPr>
          <w:p w14:paraId="74483910" w14:textId="77777777" w:rsidR="002D0984" w:rsidRPr="000A3F1B" w:rsidRDefault="002D0984" w:rsidP="00FB632A">
            <w:pPr>
              <w:rPr>
                <w:rFonts w:asciiTheme="majorHAnsi" w:hAnsiTheme="majorHAnsi"/>
                <w:b/>
                <w:bCs/>
                <w:i/>
                <w:iCs/>
                <w:szCs w:val="22"/>
              </w:rPr>
            </w:pPr>
            <w:r w:rsidRPr="000A3F1B">
              <w:rPr>
                <w:rFonts w:asciiTheme="majorHAnsi" w:hAnsiTheme="majorHAnsi"/>
                <w:b/>
                <w:bCs/>
                <w:i/>
                <w:iCs/>
                <w:szCs w:val="22"/>
              </w:rPr>
              <w:t>Kontrolle der Abgabe:</w:t>
            </w:r>
          </w:p>
          <w:p w14:paraId="11C20870" w14:textId="77777777" w:rsidR="002D0984" w:rsidRPr="000A3F1B" w:rsidRDefault="002D0984" w:rsidP="00FB632A">
            <w:pPr>
              <w:rPr>
                <w:rFonts w:asciiTheme="majorHAnsi" w:hAnsiTheme="majorHAnsi"/>
                <w:szCs w:val="22"/>
              </w:rPr>
            </w:pPr>
          </w:p>
          <w:p w14:paraId="5BCA5A45" w14:textId="77777777" w:rsidR="002D0984" w:rsidRPr="000A3F1B" w:rsidRDefault="002D0984" w:rsidP="00FB632A">
            <w:pPr>
              <w:rPr>
                <w:rFonts w:asciiTheme="majorHAnsi" w:hAnsiTheme="majorHAnsi"/>
                <w:szCs w:val="22"/>
              </w:rPr>
            </w:pPr>
          </w:p>
        </w:tc>
      </w:tr>
      <w:tr w:rsidR="002D0984" w:rsidRPr="000A3F1B" w14:paraId="1E30CE27" w14:textId="77777777" w:rsidTr="00FB632A">
        <w:trPr>
          <w:cantSplit/>
          <w:trHeight w:val="456"/>
        </w:trPr>
        <w:tc>
          <w:tcPr>
            <w:tcW w:w="8706" w:type="dxa"/>
            <w:gridSpan w:val="6"/>
            <w:vMerge w:val="restart"/>
            <w:vAlign w:val="center"/>
          </w:tcPr>
          <w:p w14:paraId="04B79A49" w14:textId="77777777" w:rsidR="002D0984" w:rsidRPr="000A3F1B" w:rsidRDefault="002D0984" w:rsidP="00FB632A">
            <w:pPr>
              <w:pStyle w:val="Kopfzeile"/>
              <w:tabs>
                <w:tab w:val="clear" w:pos="4536"/>
                <w:tab w:val="clear" w:pos="9072"/>
              </w:tabs>
              <w:rPr>
                <w:rFonts w:asciiTheme="majorHAnsi" w:hAnsiTheme="majorHAnsi"/>
                <w:szCs w:val="18"/>
              </w:rPr>
            </w:pPr>
            <w:r w:rsidRPr="000A3F1B">
              <w:rPr>
                <w:rFonts w:asciiTheme="majorHAnsi" w:hAnsiTheme="majorHAnsi"/>
                <w:b/>
                <w:bCs/>
                <w:szCs w:val="18"/>
              </w:rPr>
              <w:t>LERNZIELE</w:t>
            </w:r>
            <w:r w:rsidRPr="000A3F1B">
              <w:rPr>
                <w:rFonts w:asciiTheme="majorHAnsi" w:hAnsiTheme="majorHAnsi"/>
                <w:szCs w:val="18"/>
              </w:rPr>
              <w:t>:</w:t>
            </w:r>
          </w:p>
        </w:tc>
        <w:tc>
          <w:tcPr>
            <w:tcW w:w="1800" w:type="dxa"/>
            <w:gridSpan w:val="4"/>
            <w:vAlign w:val="center"/>
          </w:tcPr>
          <w:p w14:paraId="12A6A5BC" w14:textId="77777777" w:rsidR="002D0984" w:rsidRPr="000A3F1B" w:rsidRDefault="002D0984" w:rsidP="00FB632A">
            <w:pPr>
              <w:rPr>
                <w:rFonts w:asciiTheme="majorHAnsi" w:hAnsiTheme="majorHAnsi"/>
                <w:sz w:val="18"/>
                <w:szCs w:val="18"/>
              </w:rPr>
            </w:pPr>
            <w:r w:rsidRPr="000A3F1B">
              <w:rPr>
                <w:rFonts w:asciiTheme="majorHAnsi" w:hAnsiTheme="majorHAnsi"/>
                <w:b/>
                <w:bCs/>
                <w:sz w:val="18"/>
                <w:szCs w:val="18"/>
              </w:rPr>
              <w:t>Ziel erreicht</w:t>
            </w:r>
            <w:r w:rsidRPr="000A3F1B">
              <w:rPr>
                <w:rFonts w:asciiTheme="majorHAnsi" w:hAnsiTheme="majorHAnsi"/>
                <w:sz w:val="18"/>
                <w:szCs w:val="18"/>
              </w:rPr>
              <w:t>:</w:t>
            </w:r>
            <w:r w:rsidRPr="000A3F1B">
              <w:rPr>
                <w:rFonts w:asciiTheme="majorHAnsi" w:hAnsiTheme="majorHAnsi"/>
                <w:sz w:val="18"/>
                <w:szCs w:val="18"/>
              </w:rPr>
              <w:br/>
              <w:t>Selbsteinschätzung</w:t>
            </w:r>
          </w:p>
        </w:tc>
      </w:tr>
      <w:tr w:rsidR="002D0984" w:rsidRPr="000A3F1B" w14:paraId="3340062D" w14:textId="77777777" w:rsidTr="00FB632A">
        <w:trPr>
          <w:cantSplit/>
          <w:trHeight w:val="354"/>
        </w:trPr>
        <w:tc>
          <w:tcPr>
            <w:tcW w:w="8706" w:type="dxa"/>
            <w:gridSpan w:val="6"/>
            <w:vMerge/>
            <w:vAlign w:val="center"/>
          </w:tcPr>
          <w:p w14:paraId="51617221" w14:textId="77777777" w:rsidR="002D0984" w:rsidRPr="000A3F1B" w:rsidRDefault="002D0984" w:rsidP="00FB632A">
            <w:pPr>
              <w:pStyle w:val="Kopfzeile"/>
              <w:tabs>
                <w:tab w:val="clear" w:pos="4536"/>
                <w:tab w:val="clear" w:pos="9072"/>
              </w:tabs>
              <w:rPr>
                <w:rFonts w:asciiTheme="majorHAnsi" w:hAnsiTheme="majorHAnsi"/>
                <w:b/>
                <w:bCs/>
                <w:sz w:val="18"/>
                <w:szCs w:val="18"/>
              </w:rPr>
            </w:pPr>
          </w:p>
        </w:tc>
        <w:tc>
          <w:tcPr>
            <w:tcW w:w="450" w:type="dxa"/>
            <w:vAlign w:val="center"/>
          </w:tcPr>
          <w:p w14:paraId="22642C2A" w14:textId="77777777" w:rsidR="002D0984" w:rsidRPr="000A3F1B" w:rsidRDefault="002D0984" w:rsidP="00FB632A">
            <w:pPr>
              <w:rPr>
                <w:rFonts w:asciiTheme="majorHAnsi" w:hAnsiTheme="majorHAnsi"/>
                <w:b/>
                <w:bCs/>
                <w:sz w:val="18"/>
                <w:szCs w:val="18"/>
              </w:rPr>
            </w:pPr>
            <w:r w:rsidRPr="000A3F1B">
              <w:rPr>
                <w:rFonts w:asciiTheme="majorHAnsi" w:hAnsiTheme="majorHAnsi"/>
                <w:b/>
                <w:bCs/>
                <w:sz w:val="18"/>
                <w:szCs w:val="18"/>
              </w:rPr>
              <w:t>1</w:t>
            </w:r>
          </w:p>
        </w:tc>
        <w:tc>
          <w:tcPr>
            <w:tcW w:w="450" w:type="dxa"/>
            <w:vAlign w:val="center"/>
          </w:tcPr>
          <w:p w14:paraId="77FF085E" w14:textId="77777777" w:rsidR="002D0984" w:rsidRPr="000A3F1B" w:rsidRDefault="002D0984" w:rsidP="00FB632A">
            <w:pPr>
              <w:rPr>
                <w:rFonts w:asciiTheme="majorHAnsi" w:hAnsiTheme="majorHAnsi"/>
                <w:b/>
                <w:bCs/>
                <w:sz w:val="18"/>
                <w:szCs w:val="18"/>
              </w:rPr>
            </w:pPr>
            <w:r w:rsidRPr="000A3F1B">
              <w:rPr>
                <w:rFonts w:asciiTheme="majorHAnsi" w:hAnsiTheme="majorHAnsi"/>
                <w:b/>
                <w:bCs/>
                <w:sz w:val="18"/>
                <w:szCs w:val="18"/>
              </w:rPr>
              <w:t>2</w:t>
            </w:r>
          </w:p>
        </w:tc>
        <w:tc>
          <w:tcPr>
            <w:tcW w:w="450" w:type="dxa"/>
            <w:vAlign w:val="center"/>
          </w:tcPr>
          <w:p w14:paraId="0DF0F86F" w14:textId="77777777" w:rsidR="002D0984" w:rsidRPr="000A3F1B" w:rsidRDefault="002D0984" w:rsidP="00FB632A">
            <w:pPr>
              <w:rPr>
                <w:rFonts w:asciiTheme="majorHAnsi" w:hAnsiTheme="majorHAnsi"/>
                <w:b/>
                <w:bCs/>
                <w:sz w:val="18"/>
                <w:szCs w:val="18"/>
              </w:rPr>
            </w:pPr>
            <w:r w:rsidRPr="000A3F1B">
              <w:rPr>
                <w:rFonts w:asciiTheme="majorHAnsi" w:hAnsiTheme="majorHAnsi"/>
                <w:b/>
                <w:bCs/>
                <w:sz w:val="18"/>
                <w:szCs w:val="18"/>
              </w:rPr>
              <w:t>3</w:t>
            </w:r>
          </w:p>
        </w:tc>
        <w:tc>
          <w:tcPr>
            <w:tcW w:w="450" w:type="dxa"/>
            <w:vAlign w:val="center"/>
          </w:tcPr>
          <w:p w14:paraId="70777E95" w14:textId="77777777" w:rsidR="002D0984" w:rsidRPr="000A3F1B" w:rsidRDefault="002D0984" w:rsidP="00FB632A">
            <w:pPr>
              <w:rPr>
                <w:rFonts w:asciiTheme="majorHAnsi" w:hAnsiTheme="majorHAnsi"/>
                <w:b/>
                <w:bCs/>
                <w:sz w:val="18"/>
                <w:szCs w:val="18"/>
              </w:rPr>
            </w:pPr>
            <w:r w:rsidRPr="000A3F1B">
              <w:rPr>
                <w:rFonts w:asciiTheme="majorHAnsi" w:hAnsiTheme="majorHAnsi"/>
                <w:b/>
                <w:bCs/>
                <w:sz w:val="18"/>
                <w:szCs w:val="18"/>
              </w:rPr>
              <w:t>4</w:t>
            </w:r>
          </w:p>
        </w:tc>
      </w:tr>
      <w:tr w:rsidR="002D0984" w:rsidRPr="000A3F1B" w14:paraId="68A25246" w14:textId="77777777" w:rsidTr="00FB632A">
        <w:tc>
          <w:tcPr>
            <w:tcW w:w="8706" w:type="dxa"/>
            <w:gridSpan w:val="6"/>
          </w:tcPr>
          <w:p w14:paraId="13A5E333" w14:textId="794E8933" w:rsidR="006452DF" w:rsidRDefault="002D0984" w:rsidP="00701D8D">
            <w:pPr>
              <w:numPr>
                <w:ilvl w:val="0"/>
                <w:numId w:val="3"/>
              </w:numPr>
              <w:tabs>
                <w:tab w:val="num" w:pos="180"/>
              </w:tabs>
              <w:spacing w:before="20" w:after="20"/>
              <w:ind w:left="180" w:firstLine="0"/>
              <w:rPr>
                <w:rFonts w:asciiTheme="majorHAnsi" w:hAnsiTheme="majorHAnsi"/>
                <w:b/>
                <w:sz w:val="18"/>
                <w:szCs w:val="18"/>
              </w:rPr>
            </w:pPr>
            <w:r>
              <w:rPr>
                <w:rFonts w:asciiTheme="majorHAnsi" w:hAnsiTheme="majorHAnsi"/>
                <w:b/>
                <w:sz w:val="18"/>
                <w:szCs w:val="18"/>
              </w:rPr>
              <w:t xml:space="preserve">Ich kann </w:t>
            </w:r>
            <w:r w:rsidR="00B90940">
              <w:rPr>
                <w:rFonts w:asciiTheme="majorHAnsi" w:hAnsiTheme="majorHAnsi"/>
                <w:b/>
                <w:sz w:val="18"/>
                <w:szCs w:val="18"/>
              </w:rPr>
              <w:t>Ursachen für Krisen erkennen</w:t>
            </w:r>
          </w:p>
          <w:p w14:paraId="3A39C37D" w14:textId="7228442E" w:rsidR="002D0984" w:rsidRPr="000A3F1B" w:rsidRDefault="00701D8D" w:rsidP="00B90940">
            <w:pPr>
              <w:numPr>
                <w:ilvl w:val="0"/>
                <w:numId w:val="3"/>
              </w:numPr>
              <w:tabs>
                <w:tab w:val="num" w:pos="180"/>
              </w:tabs>
              <w:spacing w:before="20" w:after="20"/>
              <w:ind w:left="180" w:firstLine="0"/>
              <w:rPr>
                <w:rFonts w:asciiTheme="majorHAnsi" w:hAnsiTheme="majorHAnsi"/>
                <w:b/>
                <w:sz w:val="18"/>
                <w:szCs w:val="18"/>
              </w:rPr>
            </w:pPr>
            <w:r>
              <w:rPr>
                <w:rFonts w:asciiTheme="majorHAnsi" w:hAnsiTheme="majorHAnsi"/>
                <w:b/>
                <w:sz w:val="18"/>
                <w:szCs w:val="18"/>
              </w:rPr>
              <w:t xml:space="preserve">und </w:t>
            </w:r>
            <w:r w:rsidR="006452DF">
              <w:rPr>
                <w:rFonts w:asciiTheme="majorHAnsi" w:hAnsiTheme="majorHAnsi"/>
                <w:b/>
                <w:sz w:val="18"/>
                <w:szCs w:val="18"/>
              </w:rPr>
              <w:t xml:space="preserve">ich kann </w:t>
            </w:r>
            <w:r w:rsidR="00B90940">
              <w:rPr>
                <w:rFonts w:asciiTheme="majorHAnsi" w:hAnsiTheme="majorHAnsi"/>
                <w:b/>
                <w:sz w:val="18"/>
                <w:szCs w:val="18"/>
              </w:rPr>
              <w:t>einfache Maßnahmen zur Krisenbewältigung vorschlagen</w:t>
            </w:r>
            <w:r w:rsidR="003726E2">
              <w:rPr>
                <w:rFonts w:asciiTheme="majorHAnsi" w:hAnsiTheme="majorHAnsi"/>
                <w:b/>
                <w:sz w:val="18"/>
                <w:szCs w:val="18"/>
              </w:rPr>
              <w:t>.</w:t>
            </w:r>
          </w:p>
        </w:tc>
        <w:tc>
          <w:tcPr>
            <w:tcW w:w="450" w:type="dxa"/>
          </w:tcPr>
          <w:p w14:paraId="550D75C4" w14:textId="77777777" w:rsidR="002D0984" w:rsidRPr="000A3F1B" w:rsidRDefault="002D0984" w:rsidP="00FB632A">
            <w:pPr>
              <w:rPr>
                <w:rFonts w:asciiTheme="majorHAnsi" w:hAnsiTheme="majorHAnsi"/>
                <w:sz w:val="18"/>
                <w:szCs w:val="18"/>
              </w:rPr>
            </w:pPr>
          </w:p>
        </w:tc>
        <w:tc>
          <w:tcPr>
            <w:tcW w:w="450" w:type="dxa"/>
          </w:tcPr>
          <w:p w14:paraId="006BB480" w14:textId="77777777" w:rsidR="002D0984" w:rsidRPr="000A3F1B" w:rsidRDefault="002D0984" w:rsidP="00FB632A">
            <w:pPr>
              <w:rPr>
                <w:rFonts w:asciiTheme="majorHAnsi" w:hAnsiTheme="majorHAnsi"/>
                <w:sz w:val="18"/>
                <w:szCs w:val="18"/>
              </w:rPr>
            </w:pPr>
          </w:p>
        </w:tc>
        <w:tc>
          <w:tcPr>
            <w:tcW w:w="450" w:type="dxa"/>
          </w:tcPr>
          <w:p w14:paraId="3EF8533D" w14:textId="77777777" w:rsidR="002D0984" w:rsidRPr="000A3F1B" w:rsidRDefault="002D0984" w:rsidP="00FB632A">
            <w:pPr>
              <w:rPr>
                <w:rFonts w:asciiTheme="majorHAnsi" w:hAnsiTheme="majorHAnsi"/>
                <w:sz w:val="18"/>
                <w:szCs w:val="18"/>
              </w:rPr>
            </w:pPr>
          </w:p>
        </w:tc>
        <w:tc>
          <w:tcPr>
            <w:tcW w:w="450" w:type="dxa"/>
          </w:tcPr>
          <w:p w14:paraId="579E229A" w14:textId="77777777" w:rsidR="002D0984" w:rsidRPr="000A3F1B" w:rsidRDefault="002D0984" w:rsidP="00FB632A">
            <w:pPr>
              <w:rPr>
                <w:rFonts w:asciiTheme="majorHAnsi" w:hAnsiTheme="majorHAnsi"/>
                <w:sz w:val="18"/>
                <w:szCs w:val="18"/>
              </w:rPr>
            </w:pPr>
          </w:p>
        </w:tc>
      </w:tr>
      <w:tr w:rsidR="002D0984" w:rsidRPr="000A3F1B" w14:paraId="04C57081" w14:textId="77777777" w:rsidTr="00FB632A">
        <w:tc>
          <w:tcPr>
            <w:tcW w:w="8706" w:type="dxa"/>
            <w:gridSpan w:val="6"/>
          </w:tcPr>
          <w:p w14:paraId="73BE5906" w14:textId="4546C532" w:rsidR="006452DF" w:rsidRDefault="002D0984" w:rsidP="00B90940">
            <w:pPr>
              <w:numPr>
                <w:ilvl w:val="0"/>
                <w:numId w:val="3"/>
              </w:numPr>
              <w:tabs>
                <w:tab w:val="num" w:pos="180"/>
              </w:tabs>
              <w:spacing w:before="20" w:after="20"/>
              <w:ind w:left="180" w:firstLine="0"/>
              <w:rPr>
                <w:rFonts w:asciiTheme="majorHAnsi" w:hAnsiTheme="majorHAnsi"/>
                <w:b/>
                <w:sz w:val="18"/>
                <w:szCs w:val="18"/>
              </w:rPr>
            </w:pPr>
            <w:r>
              <w:rPr>
                <w:rFonts w:asciiTheme="majorHAnsi" w:hAnsiTheme="majorHAnsi"/>
                <w:b/>
                <w:sz w:val="18"/>
                <w:szCs w:val="18"/>
              </w:rPr>
              <w:t xml:space="preserve">Ich kann </w:t>
            </w:r>
            <w:r w:rsidR="00B90940">
              <w:rPr>
                <w:rFonts w:asciiTheme="majorHAnsi" w:hAnsiTheme="majorHAnsi"/>
                <w:b/>
                <w:sz w:val="18"/>
                <w:szCs w:val="18"/>
              </w:rPr>
              <w:t>Grundzüge des Insolvenzrechtes im Unternehmensbereich und im Privatbereich erklären.</w:t>
            </w:r>
          </w:p>
          <w:p w14:paraId="363B2996" w14:textId="4B2D961C" w:rsidR="002D0984" w:rsidRPr="000A3F1B" w:rsidRDefault="002D0984" w:rsidP="006452DF">
            <w:pPr>
              <w:spacing w:before="20" w:after="20"/>
              <w:ind w:left="180"/>
              <w:rPr>
                <w:rFonts w:asciiTheme="majorHAnsi" w:hAnsiTheme="majorHAnsi"/>
                <w:b/>
                <w:sz w:val="18"/>
                <w:szCs w:val="18"/>
              </w:rPr>
            </w:pPr>
          </w:p>
        </w:tc>
        <w:tc>
          <w:tcPr>
            <w:tcW w:w="450" w:type="dxa"/>
          </w:tcPr>
          <w:p w14:paraId="16B73763" w14:textId="77777777" w:rsidR="002D0984" w:rsidRPr="000A3F1B" w:rsidRDefault="002D0984" w:rsidP="00FB632A">
            <w:pPr>
              <w:rPr>
                <w:rFonts w:asciiTheme="majorHAnsi" w:hAnsiTheme="majorHAnsi"/>
                <w:sz w:val="18"/>
                <w:szCs w:val="18"/>
              </w:rPr>
            </w:pPr>
          </w:p>
        </w:tc>
        <w:tc>
          <w:tcPr>
            <w:tcW w:w="450" w:type="dxa"/>
          </w:tcPr>
          <w:p w14:paraId="0DD486EB" w14:textId="77777777" w:rsidR="002D0984" w:rsidRPr="000A3F1B" w:rsidRDefault="002D0984" w:rsidP="00FB632A">
            <w:pPr>
              <w:rPr>
                <w:rFonts w:asciiTheme="majorHAnsi" w:hAnsiTheme="majorHAnsi"/>
                <w:sz w:val="18"/>
                <w:szCs w:val="18"/>
              </w:rPr>
            </w:pPr>
          </w:p>
        </w:tc>
        <w:tc>
          <w:tcPr>
            <w:tcW w:w="450" w:type="dxa"/>
          </w:tcPr>
          <w:p w14:paraId="2D489075" w14:textId="77777777" w:rsidR="002D0984" w:rsidRPr="000A3F1B" w:rsidRDefault="002D0984" w:rsidP="00FB632A">
            <w:pPr>
              <w:rPr>
                <w:rFonts w:asciiTheme="majorHAnsi" w:hAnsiTheme="majorHAnsi"/>
                <w:sz w:val="18"/>
                <w:szCs w:val="18"/>
              </w:rPr>
            </w:pPr>
          </w:p>
        </w:tc>
        <w:tc>
          <w:tcPr>
            <w:tcW w:w="450" w:type="dxa"/>
          </w:tcPr>
          <w:p w14:paraId="53DA9CFD" w14:textId="77777777" w:rsidR="002D0984" w:rsidRPr="000A3F1B" w:rsidRDefault="002D0984" w:rsidP="00FB632A">
            <w:pPr>
              <w:rPr>
                <w:rFonts w:asciiTheme="majorHAnsi" w:hAnsiTheme="majorHAnsi"/>
                <w:sz w:val="18"/>
                <w:szCs w:val="18"/>
              </w:rPr>
            </w:pPr>
          </w:p>
        </w:tc>
      </w:tr>
      <w:tr w:rsidR="002D0984" w:rsidRPr="000A3F1B" w14:paraId="11E1064E" w14:textId="77777777" w:rsidTr="00FB632A">
        <w:trPr>
          <w:trHeight w:val="463"/>
        </w:trPr>
        <w:tc>
          <w:tcPr>
            <w:tcW w:w="10506" w:type="dxa"/>
            <w:gridSpan w:val="10"/>
            <w:vAlign w:val="center"/>
          </w:tcPr>
          <w:p w14:paraId="3A3B5963" w14:textId="77777777" w:rsidR="002D0984" w:rsidRPr="000A3F1B" w:rsidRDefault="002D0984" w:rsidP="00FB632A">
            <w:pPr>
              <w:rPr>
                <w:rFonts w:asciiTheme="majorHAnsi" w:hAnsiTheme="majorHAnsi"/>
                <w:sz w:val="18"/>
                <w:szCs w:val="18"/>
              </w:rPr>
            </w:pPr>
            <w:r w:rsidRPr="000A3F1B">
              <w:rPr>
                <w:rFonts w:asciiTheme="majorHAnsi" w:hAnsiTheme="majorHAnsi"/>
                <w:b/>
                <w:sz w:val="18"/>
                <w:szCs w:val="18"/>
              </w:rPr>
              <w:t>SOZIALE LERNZIELE</w:t>
            </w:r>
          </w:p>
        </w:tc>
      </w:tr>
      <w:tr w:rsidR="002D0984" w:rsidRPr="000A3F1B" w14:paraId="6B6E2CB9" w14:textId="77777777" w:rsidTr="00FB632A">
        <w:tc>
          <w:tcPr>
            <w:tcW w:w="8706" w:type="dxa"/>
            <w:gridSpan w:val="6"/>
          </w:tcPr>
          <w:p w14:paraId="00BBA1ED" w14:textId="77777777" w:rsidR="002D0984" w:rsidRPr="000A3F1B" w:rsidRDefault="002D0984" w:rsidP="002D0984">
            <w:pPr>
              <w:numPr>
                <w:ilvl w:val="0"/>
                <w:numId w:val="4"/>
              </w:numPr>
              <w:spacing w:before="20" w:after="20"/>
              <w:ind w:left="284" w:firstLine="0"/>
              <w:rPr>
                <w:rFonts w:asciiTheme="majorHAnsi" w:hAnsiTheme="majorHAnsi"/>
                <w:b/>
                <w:sz w:val="18"/>
                <w:szCs w:val="18"/>
              </w:rPr>
            </w:pPr>
            <w:r w:rsidRPr="000A3F1B">
              <w:rPr>
                <w:rFonts w:asciiTheme="majorHAnsi" w:hAnsiTheme="majorHAnsi"/>
                <w:b/>
                <w:sz w:val="18"/>
                <w:szCs w:val="18"/>
              </w:rPr>
              <w:t xml:space="preserve">Ich frage </w:t>
            </w:r>
            <w:r>
              <w:rPr>
                <w:rFonts w:asciiTheme="majorHAnsi" w:hAnsiTheme="majorHAnsi"/>
                <w:b/>
                <w:sz w:val="18"/>
                <w:szCs w:val="18"/>
              </w:rPr>
              <w:t xml:space="preserve">Mitschüler oder </w:t>
            </w:r>
            <w:r w:rsidRPr="000A3F1B">
              <w:rPr>
                <w:rFonts w:asciiTheme="majorHAnsi" w:hAnsiTheme="majorHAnsi"/>
                <w:b/>
                <w:sz w:val="18"/>
                <w:szCs w:val="18"/>
              </w:rPr>
              <w:t>den Prof. wenn ich nicht weiter weiß</w:t>
            </w:r>
          </w:p>
        </w:tc>
        <w:tc>
          <w:tcPr>
            <w:tcW w:w="450" w:type="dxa"/>
          </w:tcPr>
          <w:p w14:paraId="393FAE6E" w14:textId="77777777" w:rsidR="002D0984" w:rsidRPr="000A3F1B" w:rsidRDefault="002D0984" w:rsidP="00FB632A">
            <w:pPr>
              <w:rPr>
                <w:rFonts w:asciiTheme="majorHAnsi" w:hAnsiTheme="majorHAnsi"/>
                <w:sz w:val="18"/>
                <w:szCs w:val="18"/>
              </w:rPr>
            </w:pPr>
          </w:p>
        </w:tc>
        <w:tc>
          <w:tcPr>
            <w:tcW w:w="450" w:type="dxa"/>
          </w:tcPr>
          <w:p w14:paraId="5B1387AE" w14:textId="77777777" w:rsidR="002D0984" w:rsidRPr="000A3F1B" w:rsidRDefault="002D0984" w:rsidP="00FB632A">
            <w:pPr>
              <w:rPr>
                <w:rFonts w:asciiTheme="majorHAnsi" w:hAnsiTheme="majorHAnsi"/>
                <w:sz w:val="18"/>
                <w:szCs w:val="18"/>
              </w:rPr>
            </w:pPr>
          </w:p>
        </w:tc>
        <w:tc>
          <w:tcPr>
            <w:tcW w:w="450" w:type="dxa"/>
          </w:tcPr>
          <w:p w14:paraId="1748FBB9" w14:textId="77777777" w:rsidR="002D0984" w:rsidRPr="000A3F1B" w:rsidRDefault="002D0984" w:rsidP="00FB632A">
            <w:pPr>
              <w:rPr>
                <w:rFonts w:asciiTheme="majorHAnsi" w:hAnsiTheme="majorHAnsi"/>
                <w:sz w:val="18"/>
                <w:szCs w:val="18"/>
              </w:rPr>
            </w:pPr>
          </w:p>
        </w:tc>
        <w:tc>
          <w:tcPr>
            <w:tcW w:w="450" w:type="dxa"/>
          </w:tcPr>
          <w:p w14:paraId="65EDB60E" w14:textId="77777777" w:rsidR="002D0984" w:rsidRPr="000A3F1B" w:rsidRDefault="002D0984" w:rsidP="00FB632A">
            <w:pPr>
              <w:rPr>
                <w:rFonts w:asciiTheme="majorHAnsi" w:hAnsiTheme="majorHAnsi"/>
                <w:sz w:val="18"/>
                <w:szCs w:val="18"/>
              </w:rPr>
            </w:pPr>
          </w:p>
        </w:tc>
      </w:tr>
    </w:tbl>
    <w:p w14:paraId="7CB695C9" w14:textId="77777777" w:rsidR="002D0984" w:rsidRPr="000A3F1B" w:rsidRDefault="002D0984" w:rsidP="002D0984">
      <w:pPr>
        <w:ind w:hanging="426"/>
        <w:rPr>
          <w:rFonts w:asciiTheme="majorHAnsi" w:hAnsiTheme="majorHAnsi"/>
          <w:sz w:val="18"/>
          <w:szCs w:val="18"/>
        </w:rPr>
      </w:pPr>
      <w:r w:rsidRPr="000A3F1B">
        <w:rPr>
          <w:rFonts w:asciiTheme="majorHAnsi" w:hAnsiTheme="majorHAnsi"/>
          <w:sz w:val="18"/>
          <w:szCs w:val="18"/>
        </w:rPr>
        <w:t>1) voll /2) weitgehend /3) ansatzweise /4) nicht</w:t>
      </w:r>
    </w:p>
    <w:p w14:paraId="039D4579" w14:textId="77777777" w:rsidR="002D0984" w:rsidRPr="000A3F1B" w:rsidRDefault="002D0984" w:rsidP="002D0984">
      <w:pPr>
        <w:rPr>
          <w:rFonts w:asciiTheme="majorHAnsi" w:hAnsiTheme="majorHAnsi"/>
          <w:b/>
          <w:bCs/>
          <w:caps/>
          <w:sz w:val="18"/>
          <w:szCs w:val="18"/>
        </w:rPr>
      </w:pPr>
    </w:p>
    <w:p w14:paraId="437ED367" w14:textId="77777777" w:rsidR="002D0984" w:rsidRPr="000A3F1B" w:rsidRDefault="002D0984" w:rsidP="002D0984">
      <w:pPr>
        <w:outlineLvl w:val="0"/>
        <w:rPr>
          <w:rFonts w:asciiTheme="majorHAnsi" w:hAnsiTheme="majorHAnsi"/>
          <w:b/>
          <w:bCs/>
          <w:caps/>
          <w:sz w:val="16"/>
          <w:szCs w:val="16"/>
        </w:rPr>
      </w:pPr>
      <w:r w:rsidRPr="000A3F1B">
        <w:rPr>
          <w:rFonts w:asciiTheme="majorHAnsi" w:hAnsiTheme="majorHAnsi"/>
          <w:b/>
          <w:bCs/>
          <w:caps/>
          <w:sz w:val="16"/>
          <w:szCs w:val="16"/>
        </w:rPr>
        <w:t>Durchführung:</w:t>
      </w:r>
    </w:p>
    <w:tbl>
      <w:tblPr>
        <w:tblW w:w="1050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5169"/>
        <w:gridCol w:w="1559"/>
        <w:gridCol w:w="1701"/>
        <w:gridCol w:w="1291"/>
      </w:tblGrid>
      <w:tr w:rsidR="002D0984" w:rsidRPr="000A3F1B" w14:paraId="6ED2620E" w14:textId="77777777" w:rsidTr="00FB632A">
        <w:tc>
          <w:tcPr>
            <w:tcW w:w="786" w:type="dxa"/>
            <w:vAlign w:val="center"/>
          </w:tcPr>
          <w:p w14:paraId="7380E2D8" w14:textId="77777777" w:rsidR="002D0984" w:rsidRPr="000A3F1B" w:rsidRDefault="002D0984" w:rsidP="00FB632A">
            <w:pPr>
              <w:pStyle w:val="Formatvorlage1"/>
              <w:rPr>
                <w:rFonts w:asciiTheme="majorHAnsi" w:hAnsiTheme="majorHAnsi"/>
              </w:rPr>
            </w:pPr>
            <w:r w:rsidRPr="000A3F1B">
              <w:rPr>
                <w:rFonts w:asciiTheme="majorHAnsi" w:hAnsiTheme="majorHAnsi"/>
              </w:rPr>
              <w:t>Nr</w:t>
            </w:r>
          </w:p>
        </w:tc>
        <w:tc>
          <w:tcPr>
            <w:tcW w:w="5169" w:type="dxa"/>
            <w:vAlign w:val="center"/>
          </w:tcPr>
          <w:p w14:paraId="328B5CCD" w14:textId="77777777" w:rsidR="002D0984" w:rsidRPr="000A3F1B" w:rsidRDefault="002D0984" w:rsidP="00FB632A">
            <w:pPr>
              <w:pStyle w:val="Formatvorlage1"/>
              <w:rPr>
                <w:rFonts w:asciiTheme="majorHAnsi" w:hAnsiTheme="majorHAnsi"/>
              </w:rPr>
            </w:pPr>
            <w:r w:rsidRPr="000A3F1B">
              <w:rPr>
                <w:rFonts w:asciiTheme="majorHAnsi" w:hAnsiTheme="majorHAnsi"/>
              </w:rPr>
              <w:t>Aufgabe / Problemstellung</w:t>
            </w:r>
          </w:p>
        </w:tc>
        <w:tc>
          <w:tcPr>
            <w:tcW w:w="1559" w:type="dxa"/>
          </w:tcPr>
          <w:p w14:paraId="2773E058" w14:textId="77777777" w:rsidR="002D0984" w:rsidRPr="000A3F1B" w:rsidRDefault="002D0984" w:rsidP="00FB632A">
            <w:pPr>
              <w:pStyle w:val="Formatvorlage1"/>
            </w:pPr>
            <w:r w:rsidRPr="000A3F1B">
              <w:t>Sozialform</w:t>
            </w:r>
          </w:p>
        </w:tc>
        <w:tc>
          <w:tcPr>
            <w:tcW w:w="1701" w:type="dxa"/>
            <w:vAlign w:val="center"/>
          </w:tcPr>
          <w:p w14:paraId="23724877" w14:textId="77777777" w:rsidR="002D0984" w:rsidRPr="000A3F1B" w:rsidRDefault="002D0984" w:rsidP="00FB632A">
            <w:pPr>
              <w:pStyle w:val="Formatvorlage1"/>
            </w:pPr>
            <w:r w:rsidRPr="000A3F1B">
              <w:t>Pflicht/Wahl</w:t>
            </w:r>
          </w:p>
        </w:tc>
        <w:tc>
          <w:tcPr>
            <w:tcW w:w="1291" w:type="dxa"/>
          </w:tcPr>
          <w:p w14:paraId="7252D56B" w14:textId="77777777" w:rsidR="002D0984" w:rsidRPr="000A3F1B" w:rsidRDefault="002D0984" w:rsidP="00FB632A">
            <w:pPr>
              <w:pStyle w:val="Formatvorlage1"/>
            </w:pPr>
            <w:r w:rsidRPr="000A3F1B">
              <w:t>erledigt</w:t>
            </w:r>
          </w:p>
        </w:tc>
      </w:tr>
      <w:tr w:rsidR="002D0984" w:rsidRPr="000A3F1B" w14:paraId="3D7354EB" w14:textId="77777777" w:rsidTr="00FB632A">
        <w:tc>
          <w:tcPr>
            <w:tcW w:w="786" w:type="dxa"/>
          </w:tcPr>
          <w:p w14:paraId="18089A6A" w14:textId="77777777" w:rsidR="002D0984" w:rsidRDefault="002D0984" w:rsidP="00FB632A">
            <w:pPr>
              <w:pStyle w:val="Formatvorlage1"/>
              <w:rPr>
                <w:rFonts w:asciiTheme="majorHAnsi" w:hAnsiTheme="majorHAnsi"/>
                <w:sz w:val="20"/>
              </w:rPr>
            </w:pPr>
            <w:r w:rsidRPr="00874C20">
              <w:rPr>
                <w:rFonts w:asciiTheme="majorHAnsi" w:hAnsiTheme="majorHAnsi"/>
                <w:sz w:val="20"/>
              </w:rPr>
              <w:t>1.</w:t>
            </w:r>
          </w:p>
          <w:p w14:paraId="79808AE7" w14:textId="77777777" w:rsidR="00616857" w:rsidRDefault="00616857" w:rsidP="00FB632A">
            <w:pPr>
              <w:pStyle w:val="Formatvorlage1"/>
              <w:rPr>
                <w:rFonts w:asciiTheme="majorHAnsi" w:hAnsiTheme="majorHAnsi"/>
                <w:sz w:val="20"/>
              </w:rPr>
            </w:pPr>
          </w:p>
          <w:p w14:paraId="558ECFA5" w14:textId="77777777" w:rsidR="006452DF" w:rsidRDefault="006452DF" w:rsidP="00FB632A">
            <w:pPr>
              <w:pStyle w:val="Formatvorlage1"/>
              <w:rPr>
                <w:rFonts w:asciiTheme="majorHAnsi" w:hAnsiTheme="majorHAnsi"/>
                <w:sz w:val="20"/>
              </w:rPr>
            </w:pPr>
          </w:p>
          <w:p w14:paraId="1DDA60FF" w14:textId="77777777" w:rsidR="006452DF" w:rsidRDefault="006452DF" w:rsidP="00FB632A">
            <w:pPr>
              <w:pStyle w:val="Formatvorlage1"/>
              <w:rPr>
                <w:rFonts w:asciiTheme="majorHAnsi" w:hAnsiTheme="majorHAnsi"/>
                <w:sz w:val="20"/>
              </w:rPr>
            </w:pPr>
          </w:p>
          <w:p w14:paraId="219870A0" w14:textId="3756CF52" w:rsidR="006452DF" w:rsidRPr="00874C20" w:rsidRDefault="00616857" w:rsidP="00B90940">
            <w:pPr>
              <w:pStyle w:val="Formatvorlage1"/>
              <w:rPr>
                <w:rFonts w:asciiTheme="majorHAnsi" w:hAnsiTheme="majorHAnsi"/>
                <w:sz w:val="20"/>
              </w:rPr>
            </w:pPr>
            <w:r>
              <w:rPr>
                <w:rFonts w:asciiTheme="majorHAnsi" w:hAnsiTheme="majorHAnsi"/>
                <w:sz w:val="20"/>
              </w:rPr>
              <w:t>2.</w:t>
            </w:r>
          </w:p>
        </w:tc>
        <w:tc>
          <w:tcPr>
            <w:tcW w:w="5169" w:type="dxa"/>
          </w:tcPr>
          <w:p w14:paraId="4432E808" w14:textId="77777777" w:rsidR="006452DF" w:rsidRDefault="00B90940" w:rsidP="00CA3A1A">
            <w:pPr>
              <w:widowControl w:val="0"/>
              <w:autoSpaceDE w:val="0"/>
              <w:autoSpaceDN w:val="0"/>
              <w:adjustRightInd w:val="0"/>
              <w:spacing w:after="320"/>
              <w:rPr>
                <w:rFonts w:asciiTheme="majorHAnsi" w:hAnsiTheme="majorHAnsi" w:cs="Times"/>
                <w:sz w:val="20"/>
                <w:szCs w:val="20"/>
              </w:rPr>
            </w:pPr>
            <w:r>
              <w:rPr>
                <w:rFonts w:asciiTheme="majorHAnsi" w:hAnsiTheme="majorHAnsi" w:cs="Times"/>
                <w:sz w:val="20"/>
                <w:szCs w:val="20"/>
              </w:rPr>
              <w:t>Lesen Sie das Arbeitsblatt zur Insolvenz von Niemetz</w:t>
            </w:r>
          </w:p>
          <w:p w14:paraId="6FFC4396" w14:textId="77777777" w:rsidR="00B90940" w:rsidRDefault="00B90940" w:rsidP="00CA3A1A">
            <w:pPr>
              <w:widowControl w:val="0"/>
              <w:autoSpaceDE w:val="0"/>
              <w:autoSpaceDN w:val="0"/>
              <w:adjustRightInd w:val="0"/>
              <w:spacing w:after="320"/>
              <w:rPr>
                <w:rFonts w:asciiTheme="majorHAnsi" w:hAnsiTheme="majorHAnsi" w:cs="Times"/>
                <w:sz w:val="20"/>
                <w:szCs w:val="20"/>
              </w:rPr>
            </w:pPr>
          </w:p>
          <w:p w14:paraId="19728886" w14:textId="5E0860F3" w:rsidR="00B90940" w:rsidRPr="00874C20" w:rsidRDefault="00B90940" w:rsidP="00CA3A1A">
            <w:pPr>
              <w:widowControl w:val="0"/>
              <w:autoSpaceDE w:val="0"/>
              <w:autoSpaceDN w:val="0"/>
              <w:adjustRightInd w:val="0"/>
              <w:spacing w:after="320"/>
              <w:rPr>
                <w:rFonts w:asciiTheme="majorHAnsi" w:hAnsiTheme="majorHAnsi" w:cs="Times"/>
                <w:sz w:val="20"/>
                <w:szCs w:val="20"/>
              </w:rPr>
            </w:pPr>
            <w:r>
              <w:rPr>
                <w:rFonts w:asciiTheme="majorHAnsi" w:hAnsiTheme="majorHAnsi" w:cs="Times"/>
                <w:sz w:val="20"/>
                <w:szCs w:val="20"/>
              </w:rPr>
              <w:t>Lösen Sie die Fragen auf dem Arbeitsblatt</w:t>
            </w:r>
          </w:p>
        </w:tc>
        <w:tc>
          <w:tcPr>
            <w:tcW w:w="1559" w:type="dxa"/>
          </w:tcPr>
          <w:p w14:paraId="166FD056" w14:textId="77777777" w:rsidR="002D0984" w:rsidRDefault="002D0984" w:rsidP="00FB632A">
            <w:pPr>
              <w:rPr>
                <w:rFonts w:asciiTheme="majorHAnsi" w:hAnsiTheme="majorHAnsi"/>
                <w:sz w:val="16"/>
                <w:szCs w:val="16"/>
              </w:rPr>
            </w:pPr>
            <w:r w:rsidRPr="000A3F1B">
              <w:rPr>
                <w:rFonts w:asciiTheme="majorHAnsi" w:hAnsiTheme="majorHAnsi"/>
                <w:sz w:val="16"/>
                <w:szCs w:val="16"/>
              </w:rPr>
              <w:sym w:font="Wingdings" w:char="F04A"/>
            </w:r>
          </w:p>
          <w:p w14:paraId="5A982658" w14:textId="77777777" w:rsidR="006452DF" w:rsidRDefault="006452DF" w:rsidP="00FB632A">
            <w:pPr>
              <w:rPr>
                <w:rFonts w:asciiTheme="majorHAnsi" w:hAnsiTheme="majorHAnsi"/>
                <w:sz w:val="16"/>
                <w:szCs w:val="16"/>
              </w:rPr>
            </w:pPr>
          </w:p>
          <w:p w14:paraId="1A03D32A" w14:textId="77777777" w:rsidR="006452DF" w:rsidRDefault="006452DF" w:rsidP="00FB632A">
            <w:pPr>
              <w:rPr>
                <w:rFonts w:asciiTheme="majorHAnsi" w:hAnsiTheme="majorHAnsi"/>
                <w:sz w:val="16"/>
                <w:szCs w:val="16"/>
              </w:rPr>
            </w:pPr>
          </w:p>
          <w:p w14:paraId="012A9830" w14:textId="77777777" w:rsidR="00B90940" w:rsidRDefault="00B90940" w:rsidP="00FB632A">
            <w:pPr>
              <w:rPr>
                <w:rFonts w:asciiTheme="majorHAnsi" w:hAnsiTheme="majorHAnsi"/>
                <w:sz w:val="16"/>
                <w:szCs w:val="16"/>
              </w:rPr>
            </w:pPr>
          </w:p>
          <w:p w14:paraId="5A1D10D9" w14:textId="77777777" w:rsidR="00B90940" w:rsidRDefault="00B90940" w:rsidP="00FB632A">
            <w:pPr>
              <w:rPr>
                <w:rFonts w:asciiTheme="majorHAnsi" w:hAnsiTheme="majorHAnsi"/>
                <w:sz w:val="16"/>
                <w:szCs w:val="16"/>
              </w:rPr>
            </w:pPr>
          </w:p>
          <w:p w14:paraId="72902C2D" w14:textId="77777777" w:rsidR="006452DF" w:rsidRDefault="006452DF" w:rsidP="00FB632A">
            <w:pPr>
              <w:rPr>
                <w:rFonts w:asciiTheme="majorHAnsi" w:hAnsiTheme="majorHAnsi"/>
                <w:sz w:val="16"/>
                <w:szCs w:val="16"/>
              </w:rPr>
            </w:pPr>
            <w:r w:rsidRPr="000A3F1B">
              <w:rPr>
                <w:rFonts w:asciiTheme="majorHAnsi" w:hAnsiTheme="majorHAnsi"/>
                <w:sz w:val="16"/>
                <w:szCs w:val="16"/>
              </w:rPr>
              <w:sym w:font="Wingdings" w:char="F04A"/>
            </w:r>
          </w:p>
          <w:p w14:paraId="7F09DFF0" w14:textId="169C31AE" w:rsidR="006452DF" w:rsidRDefault="006452DF" w:rsidP="00FB632A">
            <w:pPr>
              <w:rPr>
                <w:rFonts w:asciiTheme="majorHAnsi" w:hAnsiTheme="majorHAnsi"/>
                <w:sz w:val="16"/>
                <w:szCs w:val="16"/>
              </w:rPr>
            </w:pPr>
          </w:p>
          <w:p w14:paraId="38E0EB41" w14:textId="77777777" w:rsidR="006452DF" w:rsidRDefault="006452DF" w:rsidP="00FB632A">
            <w:pPr>
              <w:rPr>
                <w:rFonts w:asciiTheme="majorHAnsi" w:hAnsiTheme="majorHAnsi"/>
                <w:sz w:val="16"/>
                <w:szCs w:val="16"/>
              </w:rPr>
            </w:pPr>
          </w:p>
          <w:p w14:paraId="27ADFA33" w14:textId="77777777" w:rsidR="006452DF" w:rsidRDefault="006452DF" w:rsidP="00FB632A">
            <w:pPr>
              <w:rPr>
                <w:rFonts w:asciiTheme="majorHAnsi" w:hAnsiTheme="majorHAnsi"/>
                <w:sz w:val="16"/>
                <w:szCs w:val="16"/>
              </w:rPr>
            </w:pPr>
          </w:p>
          <w:p w14:paraId="59EC3938" w14:textId="185C6072" w:rsidR="006452DF" w:rsidRPr="000A3F1B" w:rsidRDefault="006452DF" w:rsidP="00FB632A">
            <w:pPr>
              <w:rPr>
                <w:rFonts w:asciiTheme="majorHAnsi" w:hAnsiTheme="majorHAnsi"/>
                <w:sz w:val="16"/>
                <w:szCs w:val="16"/>
              </w:rPr>
            </w:pPr>
          </w:p>
        </w:tc>
        <w:tc>
          <w:tcPr>
            <w:tcW w:w="1701" w:type="dxa"/>
          </w:tcPr>
          <w:p w14:paraId="3220E6DA" w14:textId="77777777" w:rsidR="002D0984" w:rsidRDefault="002D0984" w:rsidP="00FB632A">
            <w:pPr>
              <w:pStyle w:val="Formatvorlage1"/>
            </w:pPr>
            <w:r w:rsidRPr="000A3F1B">
              <w:t>Pflicht</w:t>
            </w:r>
          </w:p>
          <w:p w14:paraId="3344F7C3" w14:textId="77777777" w:rsidR="006452DF" w:rsidRDefault="006452DF" w:rsidP="00FB632A">
            <w:pPr>
              <w:pStyle w:val="Formatvorlage1"/>
            </w:pPr>
          </w:p>
          <w:p w14:paraId="281C4381" w14:textId="77777777" w:rsidR="00B90940" w:rsidRDefault="00B90940" w:rsidP="00FB632A">
            <w:pPr>
              <w:pStyle w:val="Formatvorlage1"/>
            </w:pPr>
          </w:p>
          <w:p w14:paraId="5F5675AB" w14:textId="77777777" w:rsidR="00B90940" w:rsidRDefault="00B90940" w:rsidP="00FB632A">
            <w:pPr>
              <w:pStyle w:val="Formatvorlage1"/>
            </w:pPr>
          </w:p>
          <w:p w14:paraId="77E1C103" w14:textId="2AB693BE" w:rsidR="006452DF" w:rsidRDefault="006452DF" w:rsidP="00FB632A">
            <w:pPr>
              <w:pStyle w:val="Formatvorlage1"/>
            </w:pPr>
            <w:r w:rsidRPr="000A3F1B">
              <w:t>Pflicht</w:t>
            </w:r>
          </w:p>
          <w:p w14:paraId="26E06524" w14:textId="4AC8DB91" w:rsidR="006452DF" w:rsidRDefault="006452DF" w:rsidP="00B90940">
            <w:pPr>
              <w:pStyle w:val="Formatvorlage1"/>
              <w:ind w:left="0"/>
            </w:pPr>
          </w:p>
          <w:p w14:paraId="4152F727" w14:textId="77777777" w:rsidR="006452DF" w:rsidRDefault="006452DF" w:rsidP="00B90940">
            <w:pPr>
              <w:pStyle w:val="Formatvorlage1"/>
              <w:ind w:left="0"/>
            </w:pPr>
          </w:p>
          <w:p w14:paraId="565C108E" w14:textId="77777777" w:rsidR="006452DF" w:rsidRPr="000A3F1B" w:rsidRDefault="006452DF" w:rsidP="00FB632A">
            <w:pPr>
              <w:pStyle w:val="Formatvorlage1"/>
            </w:pPr>
          </w:p>
        </w:tc>
        <w:tc>
          <w:tcPr>
            <w:tcW w:w="1291" w:type="dxa"/>
          </w:tcPr>
          <w:p w14:paraId="24F3F10D" w14:textId="77777777" w:rsidR="002D0984" w:rsidRPr="000A3F1B" w:rsidRDefault="002D0984" w:rsidP="00FB632A">
            <w:pPr>
              <w:pStyle w:val="Formatvorlage1"/>
            </w:pPr>
          </w:p>
        </w:tc>
      </w:tr>
    </w:tbl>
    <w:p w14:paraId="1C13F1E0" w14:textId="77777777" w:rsidR="00B90940" w:rsidRPr="000A3F1B" w:rsidRDefault="00B90940" w:rsidP="002D0984">
      <w:pPr>
        <w:rPr>
          <w:rFonts w:asciiTheme="majorHAnsi" w:hAnsiTheme="majorHAnsi"/>
          <w:b/>
          <w:bCs/>
          <w:sz w:val="20"/>
          <w:szCs w:val="20"/>
        </w:rPr>
      </w:pPr>
    </w:p>
    <w:p w14:paraId="2BE789B7" w14:textId="60FBC30E" w:rsidR="002D0984" w:rsidRPr="000A3F1B" w:rsidRDefault="002D0984" w:rsidP="002D0984">
      <w:pPr>
        <w:outlineLvl w:val="0"/>
        <w:rPr>
          <w:rFonts w:asciiTheme="majorHAnsi" w:hAnsiTheme="majorHAnsi"/>
          <w:sz w:val="20"/>
          <w:szCs w:val="20"/>
        </w:rPr>
      </w:pPr>
      <w:r w:rsidRPr="000A3F1B">
        <w:rPr>
          <w:rFonts w:asciiTheme="majorHAnsi" w:hAnsiTheme="majorHAnsi"/>
          <w:b/>
          <w:bCs/>
          <w:sz w:val="20"/>
          <w:szCs w:val="20"/>
        </w:rPr>
        <w:t>MATERIAL</w:t>
      </w:r>
      <w:r w:rsidRPr="000A3F1B">
        <w:rPr>
          <w:rFonts w:asciiTheme="majorHAnsi" w:hAnsiTheme="majorHAnsi"/>
          <w:sz w:val="20"/>
          <w:szCs w:val="20"/>
        </w:rPr>
        <w:t xml:space="preserve">: </w:t>
      </w:r>
      <w:r>
        <w:rPr>
          <w:rFonts w:asciiTheme="majorHAnsi" w:hAnsiTheme="majorHAnsi"/>
          <w:sz w:val="20"/>
          <w:szCs w:val="20"/>
        </w:rPr>
        <w:t>Internet</w:t>
      </w:r>
      <w:r w:rsidRPr="000A3F1B">
        <w:rPr>
          <w:rFonts w:asciiTheme="majorHAnsi" w:hAnsiTheme="majorHAnsi"/>
          <w:sz w:val="20"/>
          <w:szCs w:val="20"/>
        </w:rPr>
        <w:t>, Website Prof. Holzheu</w:t>
      </w:r>
      <w:r>
        <w:rPr>
          <w:rFonts w:asciiTheme="majorHAnsi" w:hAnsiTheme="majorHAnsi"/>
          <w:sz w:val="20"/>
          <w:szCs w:val="20"/>
        </w:rPr>
        <w:t xml:space="preserve"> (</w:t>
      </w:r>
      <w:r w:rsidRPr="00B57563">
        <w:rPr>
          <w:rFonts w:asciiTheme="majorHAnsi" w:hAnsiTheme="majorHAnsi"/>
          <w:sz w:val="20"/>
          <w:szCs w:val="20"/>
        </w:rPr>
        <w:t>http://holzheu-schule.jimdo.com</w:t>
      </w:r>
      <w:r>
        <w:rPr>
          <w:rFonts w:asciiTheme="majorHAnsi" w:hAnsiTheme="majorHAnsi"/>
          <w:sz w:val="20"/>
          <w:szCs w:val="20"/>
        </w:rPr>
        <w:t>)</w:t>
      </w:r>
      <w:r w:rsidRPr="000A3F1B">
        <w:rPr>
          <w:rFonts w:asciiTheme="majorHAnsi" w:hAnsiTheme="majorHAnsi"/>
          <w:sz w:val="20"/>
          <w:szCs w:val="20"/>
        </w:rPr>
        <w:t>,</w:t>
      </w:r>
    </w:p>
    <w:p w14:paraId="6C9B0ED7" w14:textId="77777777" w:rsidR="002D0984" w:rsidRPr="000A3F1B" w:rsidRDefault="002D0984" w:rsidP="002D0984">
      <w:pPr>
        <w:spacing w:line="288" w:lineRule="auto"/>
        <w:ind w:right="-290"/>
        <w:rPr>
          <w:rFonts w:asciiTheme="majorHAnsi" w:hAnsiTheme="majorHAnsi"/>
          <w:b/>
          <w:bCs/>
          <w:sz w:val="20"/>
          <w:szCs w:val="20"/>
        </w:rPr>
      </w:pPr>
    </w:p>
    <w:p w14:paraId="13953463" w14:textId="77777777" w:rsidR="002D0984" w:rsidRPr="000A3F1B" w:rsidRDefault="002D0984" w:rsidP="002D0984">
      <w:pPr>
        <w:spacing w:line="360" w:lineRule="auto"/>
        <w:ind w:right="-290"/>
        <w:rPr>
          <w:rFonts w:asciiTheme="majorHAnsi" w:hAnsiTheme="majorHAnsi"/>
          <w:sz w:val="20"/>
          <w:szCs w:val="20"/>
        </w:rPr>
      </w:pPr>
      <w:r w:rsidRPr="000A3F1B">
        <w:rPr>
          <w:rFonts w:asciiTheme="majorHAnsi" w:hAnsiTheme="majorHAnsi"/>
          <w:b/>
          <w:bCs/>
          <w:sz w:val="20"/>
          <w:szCs w:val="20"/>
        </w:rPr>
        <w:t>ERKLÄRUNG</w:t>
      </w:r>
      <w:r w:rsidRPr="000A3F1B">
        <w:rPr>
          <w:rFonts w:asciiTheme="majorHAnsi" w:hAnsiTheme="majorHAnsi"/>
          <w:sz w:val="20"/>
          <w:szCs w:val="20"/>
        </w:rPr>
        <w:t>: Ich habe den Arbeitsauftrag verstanden.</w:t>
      </w:r>
      <w:r w:rsidRPr="000A3F1B">
        <w:rPr>
          <w:rFonts w:asciiTheme="majorHAnsi" w:hAnsiTheme="majorHAnsi"/>
          <w:sz w:val="20"/>
          <w:szCs w:val="20"/>
        </w:rPr>
        <w:tab/>
        <w:t xml:space="preserve"> NAME:</w:t>
      </w:r>
      <w:r w:rsidRPr="000A3F1B">
        <w:rPr>
          <w:rFonts w:asciiTheme="majorHAnsi" w:hAnsiTheme="majorHAnsi"/>
          <w:sz w:val="20"/>
          <w:szCs w:val="20"/>
        </w:rPr>
        <w:tab/>
        <w:t xml:space="preserve"> ________________________________</w:t>
      </w:r>
    </w:p>
    <w:p w14:paraId="5E076B31" w14:textId="77777777" w:rsidR="002D0984" w:rsidRPr="000A3F1B" w:rsidRDefault="002D0984" w:rsidP="002D0984">
      <w:pPr>
        <w:spacing w:line="360" w:lineRule="auto"/>
        <w:jc w:val="both"/>
        <w:rPr>
          <w:rFonts w:asciiTheme="majorHAnsi" w:hAnsiTheme="majorHAnsi"/>
          <w:b/>
          <w:bCs/>
          <w:sz w:val="20"/>
          <w:szCs w:val="20"/>
        </w:rPr>
      </w:pPr>
    </w:p>
    <w:p w14:paraId="5DA81D9A" w14:textId="77777777" w:rsidR="002D0984" w:rsidRPr="000A3F1B" w:rsidRDefault="002D0984" w:rsidP="002D0984">
      <w:pPr>
        <w:spacing w:line="360" w:lineRule="auto"/>
        <w:jc w:val="both"/>
        <w:rPr>
          <w:rFonts w:asciiTheme="majorHAnsi" w:hAnsiTheme="majorHAnsi"/>
          <w:sz w:val="20"/>
          <w:szCs w:val="20"/>
        </w:rPr>
      </w:pPr>
      <w:r w:rsidRPr="000A3F1B">
        <w:rPr>
          <w:rFonts w:asciiTheme="majorHAnsi" w:hAnsiTheme="majorHAnsi"/>
          <w:b/>
          <w:bCs/>
          <w:sz w:val="20"/>
          <w:szCs w:val="20"/>
        </w:rPr>
        <w:t>FEEDBACK:</w:t>
      </w:r>
      <w:r w:rsidRPr="000A3F1B">
        <w:rPr>
          <w:rFonts w:asciiTheme="majorHAnsi" w:hAnsiTheme="majorHAnsi"/>
          <w:sz w:val="20"/>
          <w:szCs w:val="20"/>
        </w:rPr>
        <w:tab/>
      </w:r>
      <w:r w:rsidRPr="000A3F1B">
        <w:rPr>
          <w:rFonts w:asciiTheme="majorHAnsi" w:hAnsiTheme="majorHAnsi"/>
          <w:sz w:val="20"/>
          <w:szCs w:val="20"/>
        </w:rPr>
        <w:tab/>
      </w:r>
      <w:r w:rsidRPr="000A3F1B">
        <w:rPr>
          <w:rFonts w:asciiTheme="majorHAnsi" w:hAnsiTheme="majorHAnsi"/>
          <w:sz w:val="20"/>
          <w:szCs w:val="20"/>
        </w:rPr>
        <w:tab/>
      </w:r>
      <w:r w:rsidRPr="000A3F1B">
        <w:rPr>
          <w:rFonts w:asciiTheme="majorHAnsi" w:hAnsiTheme="majorHAnsi"/>
          <w:sz w:val="20"/>
          <w:szCs w:val="20"/>
        </w:rPr>
        <w:tab/>
      </w:r>
      <w:r w:rsidRPr="000A3F1B">
        <w:rPr>
          <w:rFonts w:asciiTheme="majorHAnsi" w:hAnsiTheme="majorHAnsi"/>
          <w:sz w:val="20"/>
          <w:szCs w:val="20"/>
        </w:rPr>
        <w:tab/>
      </w:r>
      <w:r w:rsidRPr="000A3F1B">
        <w:rPr>
          <w:rFonts w:asciiTheme="majorHAnsi" w:hAnsiTheme="majorHAnsi"/>
          <w:sz w:val="20"/>
          <w:szCs w:val="20"/>
        </w:rPr>
        <w:tab/>
        <w:t xml:space="preserve"> UNTERSCHRIFT:  _______________________________</w:t>
      </w:r>
    </w:p>
    <w:p w14:paraId="15847EE1" w14:textId="343C7AE0" w:rsidR="002D0984" w:rsidRPr="000A3F1B" w:rsidRDefault="009323FB" w:rsidP="009323FB">
      <w:pPr>
        <w:spacing w:line="36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Wien, am ______________</w:t>
      </w:r>
      <w:r w:rsidR="002D0984" w:rsidRPr="000A3F1B">
        <w:rPr>
          <w:rFonts w:asciiTheme="majorHAnsi" w:hAnsiTheme="majorHAnsi"/>
          <w:sz w:val="20"/>
          <w:szCs w:val="20"/>
        </w:rPr>
        <w:t>______________</w:t>
      </w:r>
    </w:p>
    <w:p w14:paraId="5A28C9A9" w14:textId="6B36DBC5" w:rsidR="006E50E6" w:rsidRDefault="00FC0C4D" w:rsidP="006452DF">
      <w:pPr>
        <w:pStyle w:val="StandardWeb"/>
        <w:rPr>
          <w:rFonts w:ascii="ScalaSansLF" w:eastAsiaTheme="minorEastAsia" w:hAnsi="ScalaSansLF" w:hint="eastAsia"/>
          <w:color w:val="008000"/>
          <w:sz w:val="22"/>
          <w:szCs w:val="22"/>
        </w:rPr>
      </w:pPr>
      <w:r w:rsidRPr="00FC0C4D">
        <w:rPr>
          <w:rFonts w:ascii="ScalaSansLF" w:eastAsiaTheme="minorEastAsia" w:hAnsi="ScalaSansLF"/>
          <w:color w:val="008000"/>
          <w:sz w:val="22"/>
          <w:szCs w:val="22"/>
        </w:rPr>
        <w:t xml:space="preserve"> </w:t>
      </w:r>
    </w:p>
    <w:p w14:paraId="329A0EDA" w14:textId="77777777" w:rsidR="006E50E6" w:rsidRPr="00A44DAD" w:rsidRDefault="006E50E6" w:rsidP="006E50E6">
      <w:pPr>
        <w:widowControl w:val="0"/>
        <w:autoSpaceDE w:val="0"/>
        <w:autoSpaceDN w:val="0"/>
        <w:adjustRightInd w:val="0"/>
        <w:rPr>
          <w:rFonts w:ascii="Helvetica" w:hAnsi="Helvetica" w:cs="Helvetica"/>
          <w:b/>
          <w:bCs/>
          <w:color w:val="1A1A1A"/>
          <w:sz w:val="20"/>
          <w:szCs w:val="20"/>
        </w:rPr>
      </w:pPr>
      <w:r>
        <w:rPr>
          <w:rFonts w:ascii="ScalaSansLF" w:eastAsiaTheme="minorEastAsia" w:hAnsi="ScalaSansLF" w:hint="eastAsia"/>
          <w:color w:val="008000"/>
          <w:sz w:val="22"/>
          <w:szCs w:val="22"/>
        </w:rPr>
        <w:br w:type="column"/>
      </w:r>
      <w:r w:rsidRPr="00A44DAD">
        <w:rPr>
          <w:rFonts w:ascii="Helvetica" w:hAnsi="Helvetica" w:cs="Helvetica"/>
          <w:b/>
          <w:bCs/>
          <w:color w:val="1A1A1A"/>
          <w:sz w:val="20"/>
          <w:szCs w:val="20"/>
        </w:rPr>
        <w:lastRenderedPageBreak/>
        <w:t>Niemetz: Die Chronologie</w:t>
      </w:r>
    </w:p>
    <w:p w14:paraId="5B388574"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color w:val="262626"/>
          <w:sz w:val="18"/>
          <w:szCs w:val="18"/>
        </w:rPr>
        <w:t>Im August 2012 wurde bekannt</w:t>
      </w:r>
      <w:proofErr w:type="gramStart"/>
      <w:r w:rsidRPr="00A44DAD">
        <w:rPr>
          <w:rFonts w:ascii="Helvetica" w:hAnsi="Helvetica" w:cs="Helvetica"/>
          <w:color w:val="262626"/>
          <w:sz w:val="18"/>
          <w:szCs w:val="18"/>
        </w:rPr>
        <w:t>, dass</w:t>
      </w:r>
      <w:proofErr w:type="gramEnd"/>
      <w:r w:rsidRPr="00A44DAD">
        <w:rPr>
          <w:rFonts w:ascii="Helvetica" w:hAnsi="Helvetica" w:cs="Helvetica"/>
          <w:color w:val="262626"/>
          <w:sz w:val="18"/>
          <w:szCs w:val="18"/>
        </w:rPr>
        <w:t xml:space="preserve"> das Traditionsunternehmen Niemetz in Geldnöten schwebt. Es begannen Monate der Unsicherheit und Zeiten ohne Schwedenbomben. Am Ende</w:t>
      </w:r>
      <w:proofErr w:type="gramStart"/>
      <w:r w:rsidRPr="00A44DAD">
        <w:rPr>
          <w:rFonts w:ascii="Helvetica" w:hAnsi="Helvetica" w:cs="Helvetica"/>
          <w:color w:val="262626"/>
          <w:sz w:val="18"/>
          <w:szCs w:val="18"/>
        </w:rPr>
        <w:t>, im</w:t>
      </w:r>
      <w:proofErr w:type="gramEnd"/>
      <w:r w:rsidRPr="00A44DAD">
        <w:rPr>
          <w:rFonts w:ascii="Helvetica" w:hAnsi="Helvetica" w:cs="Helvetica"/>
          <w:color w:val="262626"/>
          <w:sz w:val="18"/>
          <w:szCs w:val="18"/>
        </w:rPr>
        <w:t xml:space="preserve"> Mai 2013, kauft die Meinl-Tochter Heidi Chocolat Niemetz.</w:t>
      </w:r>
    </w:p>
    <w:p w14:paraId="22649F30"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093BCB6F"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3. August 2012:</w:t>
      </w:r>
      <w:r w:rsidRPr="00A44DAD">
        <w:rPr>
          <w:rFonts w:ascii="Helvetica" w:hAnsi="Helvetica" w:cs="Helvetica"/>
          <w:color w:val="262626"/>
          <w:sz w:val="18"/>
          <w:szCs w:val="18"/>
        </w:rPr>
        <w:t xml:space="preserve"> „Wiener Schwedenbomben-Hersteller Niemetz in ernsten Finanznöten“ lautet der Titel einer Meldung der Austria Presse Agentur (APA). Darin zitiert das Wochenmagazin „Format“ Betriebsrat Robert Ettmayer, wonach 75 Klagen anhängig sind. Die Fabrik wies 2010 - aus diesem Jahr stammt der letzte verfügbare Jahresabschluss - ein negatives Eigenkapital von 3,16 Mio. Euro aus - mehr dazu in </w:t>
      </w:r>
      <w:hyperlink r:id="rId10" w:history="1">
        <w:r w:rsidRPr="00A44DAD">
          <w:rPr>
            <w:rFonts w:ascii="Helvetica" w:hAnsi="Helvetica" w:cs="Helvetica"/>
            <w:b/>
            <w:bCs/>
            <w:color w:val="445895"/>
            <w:sz w:val="18"/>
            <w:szCs w:val="18"/>
          </w:rPr>
          <w:t>Schwedenbomben-Firma in Geldnot</w:t>
        </w:r>
      </w:hyperlink>
      <w:r w:rsidRPr="00A44DAD">
        <w:rPr>
          <w:rFonts w:ascii="Helvetica" w:hAnsi="Helvetica" w:cs="Helvetica"/>
          <w:color w:val="262626"/>
          <w:sz w:val="18"/>
          <w:szCs w:val="18"/>
        </w:rPr>
        <w:t>. Die Geschäftsleitung dementiert. Das Unternehmen sei „nicht in Gefahr“.</w:t>
      </w:r>
    </w:p>
    <w:p w14:paraId="55F81061"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289935C7"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10. August:</w:t>
      </w:r>
      <w:r w:rsidRPr="00A44DAD">
        <w:rPr>
          <w:rFonts w:ascii="Helvetica" w:hAnsi="Helvetica" w:cs="Helvetica"/>
          <w:color w:val="262626"/>
          <w:sz w:val="18"/>
          <w:szCs w:val="18"/>
        </w:rPr>
        <w:t xml:space="preserve"> Es laufen Verhandlungen, um aus dem finanziellen Engpass herauszukommen. Kurzfristig geht es um Überbrückungsfinanzierungen, auf längere Sicht soll mit frischem Geld ein Unternehmensumbau gestemmt werden, der das langfristige Überleben sichert.</w:t>
      </w:r>
    </w:p>
    <w:p w14:paraId="18B0D349"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52A64FA4"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5. Dezember:</w:t>
      </w:r>
      <w:r w:rsidRPr="00A44DAD">
        <w:rPr>
          <w:rFonts w:ascii="Helvetica" w:hAnsi="Helvetica" w:cs="Helvetica"/>
          <w:color w:val="262626"/>
          <w:sz w:val="18"/>
          <w:szCs w:val="18"/>
        </w:rPr>
        <w:t xml:space="preserve"> Die Unternehmen Wienwert Immobilien und der Bauträger SÜBA übernehmen das Niemetz-Firmengelände am Rennweg. Gleichzeitig wird ein Überbrückungskredit gewährt. Niemetz kann das Gelände noch drei Jahre nutzen. Danach muss ein neuer Produktionsstandort gesucht werden.</w:t>
      </w:r>
    </w:p>
    <w:p w14:paraId="514A224A"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24125750"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20. Jänner 2013:</w:t>
      </w:r>
      <w:r w:rsidRPr="00A44DAD">
        <w:rPr>
          <w:rFonts w:ascii="Helvetica" w:hAnsi="Helvetica" w:cs="Helvetica"/>
          <w:color w:val="262626"/>
          <w:sz w:val="18"/>
          <w:szCs w:val="18"/>
        </w:rPr>
        <w:t xml:space="preserve"> Es wird bekannt, das das Finanzamt kurz vor Jahreswechsel einen Konkursantrag gegen Niemetz gestellt hat. Unternehmensanwalt Stephan Nitzl bestätigt das, meint aber, dass Niemetz zuversichtlich sei, „dass es zu keinem Konkursverfahren kommt und sich alles in Wohlgefallen auflöst.“</w:t>
      </w:r>
    </w:p>
    <w:p w14:paraId="6EAC5726"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64984AC2"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1. Februar:</w:t>
      </w:r>
      <w:r w:rsidRPr="00A44DAD">
        <w:rPr>
          <w:rFonts w:ascii="Helvetica" w:hAnsi="Helvetica" w:cs="Helvetica"/>
          <w:color w:val="262626"/>
          <w:sz w:val="18"/>
          <w:szCs w:val="18"/>
        </w:rPr>
        <w:t xml:space="preserve"> Über Niemetz wird auf eigenen Antrag ein Sanierungsverfahren ohne Eigenverwaltung eröffnet.</w:t>
      </w:r>
    </w:p>
    <w:p w14:paraId="4178DB5A"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5483F498"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3. Februar:</w:t>
      </w:r>
      <w:r w:rsidRPr="00A44DAD">
        <w:rPr>
          <w:rFonts w:ascii="Helvetica" w:hAnsi="Helvetica" w:cs="Helvetica"/>
          <w:color w:val="262626"/>
          <w:sz w:val="18"/>
          <w:szCs w:val="18"/>
        </w:rPr>
        <w:t xml:space="preserve"> Auf Facebook befinden sich knapp 2.000 Unterstützer und Liebhaber auf der Seite „Rettet die Niemetz Schwedenbomben“.</w:t>
      </w:r>
    </w:p>
    <w:p w14:paraId="654B5072"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155A0E77"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4. Februar:</w:t>
      </w:r>
      <w:r w:rsidRPr="00A44DAD">
        <w:rPr>
          <w:rFonts w:ascii="Helvetica" w:hAnsi="Helvetica" w:cs="Helvetica"/>
          <w:color w:val="262626"/>
          <w:sz w:val="18"/>
          <w:szCs w:val="18"/>
        </w:rPr>
        <w:t xml:space="preserve"> In zahlreichen Supermärkten österreichweit heißt es „Schwedenbomben ausverkauft“.</w:t>
      </w:r>
    </w:p>
    <w:p w14:paraId="3AE9B808"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3345EBB7"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5. Februar:</w:t>
      </w:r>
      <w:r w:rsidRPr="00A44DAD">
        <w:rPr>
          <w:rFonts w:ascii="Helvetica" w:hAnsi="Helvetica" w:cs="Helvetica"/>
          <w:color w:val="262626"/>
          <w:sz w:val="18"/>
          <w:szCs w:val="18"/>
        </w:rPr>
        <w:t xml:space="preserve"> Die etwa 70 Beschäftigten werden vom Betriebsrat und der Gewerkschaft PRO-GE über die aktuelle Situation des Unternehmens informiert.</w:t>
      </w:r>
    </w:p>
    <w:p w14:paraId="1C709909"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26ABA1AC"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6. Februar:</w:t>
      </w:r>
      <w:r w:rsidRPr="00A44DAD">
        <w:rPr>
          <w:rFonts w:ascii="Helvetica" w:hAnsi="Helvetica" w:cs="Helvetica"/>
          <w:color w:val="262626"/>
          <w:sz w:val="18"/>
          <w:szCs w:val="18"/>
        </w:rPr>
        <w:t xml:space="preserve"> Auf Facebook befinden sich über 35.000 Unterstützer und Liebhaber auf der Seite „Rettet die Niemetz Schwedenbomben“.</w:t>
      </w:r>
    </w:p>
    <w:p w14:paraId="21660E31"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p>
    <w:p w14:paraId="633B24F2"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7. Februar:</w:t>
      </w:r>
      <w:r w:rsidRPr="00A44DAD">
        <w:rPr>
          <w:rFonts w:ascii="Helvetica" w:hAnsi="Helvetica" w:cs="Helvetica"/>
          <w:color w:val="262626"/>
          <w:sz w:val="18"/>
          <w:szCs w:val="18"/>
        </w:rPr>
        <w:t xml:space="preserve"> Der Handel wird wieder mit Schwedenbomben beliefert. Die Produktion ist wieder möglich, da infolge einer zwischenzeitlichen Finanzierungslösung die Rohstoffproduzenten wieder bereit sind, an Niemetz zu liefern.</w:t>
      </w:r>
    </w:p>
    <w:p w14:paraId="6F054C20"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39465D43"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20. Februar:</w:t>
      </w:r>
      <w:r w:rsidRPr="00A44DAD">
        <w:rPr>
          <w:rFonts w:ascii="Helvetica" w:hAnsi="Helvetica" w:cs="Helvetica"/>
          <w:color w:val="262626"/>
          <w:sz w:val="18"/>
          <w:szCs w:val="18"/>
        </w:rPr>
        <w:t xml:space="preserve"> Die österreichischen Filialen des schwedischen Möbelhauses Ikea nehmen Schwedenbomben nach einer eindeutig ausgefallenen Facebook-Umfrage unter den Kunden in ihr Sortiment auf.</w:t>
      </w:r>
    </w:p>
    <w:p w14:paraId="5B74B412"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272D037D"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22. Februar:</w:t>
      </w:r>
      <w:r w:rsidRPr="00A44DAD">
        <w:rPr>
          <w:rFonts w:ascii="Helvetica" w:hAnsi="Helvetica" w:cs="Helvetica"/>
          <w:color w:val="262626"/>
          <w:sz w:val="18"/>
          <w:szCs w:val="18"/>
        </w:rPr>
        <w:t xml:space="preserve"> Die Produktion läuft auf Hochtouren. Pro Woche werden mehr als eine Million Schwedenbomben erzeugt und ausgeliefert.</w:t>
      </w:r>
    </w:p>
    <w:p w14:paraId="04EB89F0"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3. April:</w:t>
      </w:r>
      <w:r w:rsidRPr="00A44DAD">
        <w:rPr>
          <w:rFonts w:ascii="Helvetica" w:hAnsi="Helvetica" w:cs="Helvetica"/>
          <w:color w:val="262626"/>
          <w:sz w:val="18"/>
          <w:szCs w:val="18"/>
        </w:rPr>
        <w:t xml:space="preserve"> Laut dem Alpenländischen Kreditorenverband (AKV) läuft der Betrieb kostendeckend.</w:t>
      </w:r>
    </w:p>
    <w:p w14:paraId="5B176027"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2AD09934"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9. April:</w:t>
      </w:r>
      <w:r w:rsidRPr="00A44DAD">
        <w:rPr>
          <w:rFonts w:ascii="Helvetica" w:hAnsi="Helvetica" w:cs="Helvetica"/>
          <w:color w:val="262626"/>
          <w:sz w:val="18"/>
          <w:szCs w:val="18"/>
        </w:rPr>
        <w:t xml:space="preserve"> Masseverwalter Stephan Riel stellt am Handelsgericht den Gläubigern einen Sanierungsplan vor. Den Gläubigern ist die ursprünglich angebotene 20-Prozent-Quote zu niedrig. Zusätzliches Geld ist nötig, das die Gesellschafter aufstellen müssen. Als alternative Lösung wird ein Verkauf überlegt.</w:t>
      </w:r>
    </w:p>
    <w:p w14:paraId="1F921BFC"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color w:val="262626"/>
          <w:sz w:val="18"/>
          <w:szCs w:val="18"/>
        </w:rPr>
        <w:t>Auf Facebook befinden sich mehr als 38.000 Unterstützer und Liebhaber auf der Seite „Rettet die Niemetz Schwedenbomben“.</w:t>
      </w:r>
    </w:p>
    <w:p w14:paraId="43485FF3"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color w:val="262626"/>
          <w:sz w:val="18"/>
          <w:szCs w:val="18"/>
        </w:rPr>
        <w:t xml:space="preserve">Manner und Heindl legen ein Kaufangebot für die insolvente Schwedenbombenfirma. Angbelich gibt es 14 Interessenten - mehr dazu in </w:t>
      </w:r>
      <w:hyperlink r:id="rId11" w:history="1">
        <w:r w:rsidRPr="00A44DAD">
          <w:rPr>
            <w:rFonts w:ascii="Helvetica" w:hAnsi="Helvetica" w:cs="Helvetica"/>
            <w:b/>
            <w:bCs/>
            <w:color w:val="445895"/>
            <w:sz w:val="18"/>
            <w:szCs w:val="18"/>
          </w:rPr>
          <w:t>Viel Appetit auf Niemetz</w:t>
        </w:r>
      </w:hyperlink>
      <w:r w:rsidRPr="00A44DAD">
        <w:rPr>
          <w:rFonts w:ascii="Helvetica" w:hAnsi="Helvetica" w:cs="Helvetica"/>
          <w:color w:val="262626"/>
          <w:sz w:val="18"/>
          <w:szCs w:val="18"/>
        </w:rPr>
        <w:t>.</w:t>
      </w:r>
    </w:p>
    <w:p w14:paraId="4A95B91B"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6CEB13C0"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7. Mai:</w:t>
      </w:r>
      <w:r w:rsidRPr="00A44DAD">
        <w:rPr>
          <w:rFonts w:ascii="Helvetica" w:hAnsi="Helvetica" w:cs="Helvetica"/>
          <w:color w:val="262626"/>
          <w:sz w:val="18"/>
          <w:szCs w:val="18"/>
        </w:rPr>
        <w:t xml:space="preserve"> Niemetz erhält noch einmal eine letzte Galgenfrist. Die Gläubiger stimmen in der Sanierungsplantagsatzung dem Antrag der Schuldnerin zu, die Abstimmung bis zum 16. Mai zu erstrecken. Allerdings fordern die Gläubigervertreter nun eine 75-Prozent-Barquote, was einer aufzubringenden Summe von rund 3,3 Mio. Euro plus Verfahrenskosten entspricht - mehr dazu in </w:t>
      </w:r>
      <w:hyperlink r:id="rId12" w:history="1">
        <w:r w:rsidRPr="00A44DAD">
          <w:rPr>
            <w:rFonts w:ascii="Helvetica" w:hAnsi="Helvetica" w:cs="Helvetica"/>
            <w:b/>
            <w:bCs/>
            <w:color w:val="445895"/>
            <w:sz w:val="18"/>
            <w:szCs w:val="18"/>
          </w:rPr>
          <w:t>Niemetz: Entscheidung vertagt</w:t>
        </w:r>
      </w:hyperlink>
      <w:r w:rsidRPr="00A44DAD">
        <w:rPr>
          <w:rFonts w:ascii="Helvetica" w:hAnsi="Helvetica" w:cs="Helvetica"/>
          <w:color w:val="262626"/>
          <w:sz w:val="18"/>
          <w:szCs w:val="18"/>
        </w:rPr>
        <w:t>.</w:t>
      </w:r>
    </w:p>
    <w:p w14:paraId="1161AFE1"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6BA4F96B"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16. Mai:</w:t>
      </w:r>
      <w:r w:rsidRPr="00A44DAD">
        <w:rPr>
          <w:rFonts w:ascii="Helvetica" w:hAnsi="Helvetica" w:cs="Helvetica"/>
          <w:color w:val="262626"/>
          <w:sz w:val="18"/>
          <w:szCs w:val="18"/>
        </w:rPr>
        <w:t xml:space="preserve"> Die Gläubiger sprechen sich für einer Sanierung mit einer Barquote von 95-Prozent aus. Das Geld - knapp 4,2 Mio. Euro - muss bis 21. Mai beim Masseverwalter eingelangt sein und soll von einem - nicht näher genannten - südamerikanischen Investor kommen.</w:t>
      </w:r>
    </w:p>
    <w:p w14:paraId="33015DEE" w14:textId="77777777" w:rsidR="006E50E6" w:rsidRPr="00A44DAD" w:rsidRDefault="006E50E6" w:rsidP="006E50E6">
      <w:pPr>
        <w:widowControl w:val="0"/>
        <w:autoSpaceDE w:val="0"/>
        <w:autoSpaceDN w:val="0"/>
        <w:adjustRightInd w:val="0"/>
        <w:ind w:left="-567" w:right="-1140"/>
        <w:rPr>
          <w:rFonts w:ascii="Helvetica" w:hAnsi="Helvetica" w:cs="Helvetica"/>
          <w:b/>
          <w:bCs/>
          <w:color w:val="262626"/>
          <w:sz w:val="18"/>
          <w:szCs w:val="18"/>
        </w:rPr>
      </w:pPr>
    </w:p>
    <w:p w14:paraId="567D4834" w14:textId="77777777" w:rsidR="006E50E6" w:rsidRPr="00A44DAD" w:rsidRDefault="006E50E6" w:rsidP="006E50E6">
      <w:pPr>
        <w:widowControl w:val="0"/>
        <w:autoSpaceDE w:val="0"/>
        <w:autoSpaceDN w:val="0"/>
        <w:adjustRightInd w:val="0"/>
        <w:ind w:left="-567" w:right="-1140"/>
        <w:rPr>
          <w:rFonts w:ascii="Helvetica" w:hAnsi="Helvetica" w:cs="Helvetica"/>
          <w:color w:val="262626"/>
          <w:sz w:val="18"/>
          <w:szCs w:val="18"/>
        </w:rPr>
      </w:pPr>
      <w:r w:rsidRPr="00A44DAD">
        <w:rPr>
          <w:rFonts w:ascii="Helvetica" w:hAnsi="Helvetica" w:cs="Helvetica"/>
          <w:b/>
          <w:bCs/>
          <w:color w:val="262626"/>
          <w:sz w:val="18"/>
          <w:szCs w:val="18"/>
        </w:rPr>
        <w:t>22. Mai:</w:t>
      </w:r>
      <w:r w:rsidRPr="00A44DAD">
        <w:rPr>
          <w:rFonts w:ascii="Helvetica" w:hAnsi="Helvetica" w:cs="Helvetica"/>
          <w:color w:val="262626"/>
          <w:sz w:val="18"/>
          <w:szCs w:val="18"/>
        </w:rPr>
        <w:t xml:space="preserve"> Der zur Rettung erforderliche Sanierungsbetrag langt nicht fristgerecht auf dem Konto des Masseverwalters ein. Nur wenige Stunden später wird der Verkauf der Schwedenbombenfabrik bekannt: Die Meinl-Tochter Heidi Chocolat übernimmt den Wiener Traditionsbetrieb. Kolportierter Kaufpreis: 5,25 Millionen Euro.</w:t>
      </w:r>
    </w:p>
    <w:p w14:paraId="1F47DD71" w14:textId="77777777" w:rsidR="006E50E6" w:rsidRPr="00A44DAD" w:rsidRDefault="006E50E6" w:rsidP="006E50E6">
      <w:pPr>
        <w:ind w:left="-567" w:right="-1140"/>
        <w:rPr>
          <w:rFonts w:ascii="Helvetica" w:hAnsi="Helvetica" w:cs="Helvetica"/>
          <w:b/>
          <w:bCs/>
          <w:color w:val="262626"/>
          <w:sz w:val="18"/>
          <w:szCs w:val="18"/>
        </w:rPr>
      </w:pPr>
    </w:p>
    <w:p w14:paraId="2306F6C5" w14:textId="77777777" w:rsidR="006E50E6" w:rsidRPr="00A44DAD" w:rsidRDefault="006E50E6" w:rsidP="006E50E6">
      <w:pPr>
        <w:ind w:left="-567" w:right="-1140"/>
        <w:rPr>
          <w:rFonts w:ascii="Helvetica" w:hAnsi="Helvetica" w:cs="Helvetica"/>
          <w:color w:val="262626"/>
          <w:sz w:val="18"/>
          <w:szCs w:val="18"/>
        </w:rPr>
      </w:pPr>
      <w:r w:rsidRPr="00A44DAD">
        <w:rPr>
          <w:rFonts w:ascii="Helvetica" w:hAnsi="Helvetica" w:cs="Helvetica"/>
          <w:b/>
          <w:bCs/>
          <w:color w:val="262626"/>
          <w:sz w:val="18"/>
          <w:szCs w:val="18"/>
        </w:rPr>
        <w:t>18. Juni:</w:t>
      </w:r>
      <w:r w:rsidRPr="00A44DAD">
        <w:rPr>
          <w:rFonts w:ascii="Helvetica" w:hAnsi="Helvetica" w:cs="Helvetica"/>
          <w:color w:val="262626"/>
          <w:sz w:val="18"/>
          <w:szCs w:val="18"/>
        </w:rPr>
        <w:t xml:space="preserve"> Der Kreditschutzverband 1870 (KSV) bestätigt, dass der Kaufvertrag zwischen Niemetz und Heidi Chocolat sowie die Genehmigungen nun rechtskräftig seien. Das Geld sei an den Masseverwalter übergeben und im Gegenzug das Unternehmen an den Käufer übertragen worden. In den nächsten Wochen soll den Gläubigern eine erste Quote von 50 Prozent ausgeschüttet werden.</w:t>
      </w:r>
    </w:p>
    <w:p w14:paraId="5D359851" w14:textId="77777777" w:rsidR="006E50E6" w:rsidRPr="00A44DAD" w:rsidRDefault="006E50E6" w:rsidP="006E50E6">
      <w:pPr>
        <w:widowControl w:val="0"/>
        <w:autoSpaceDE w:val="0"/>
        <w:autoSpaceDN w:val="0"/>
        <w:adjustRightInd w:val="0"/>
        <w:rPr>
          <w:rFonts w:ascii="Helvetica" w:hAnsi="Helvetica" w:cs="Helvetica"/>
          <w:b/>
          <w:bCs/>
          <w:color w:val="1A1A1A"/>
          <w:sz w:val="20"/>
          <w:szCs w:val="20"/>
        </w:rPr>
      </w:pPr>
      <w:r>
        <w:rPr>
          <w:rFonts w:ascii="Helvetica" w:hAnsi="Helvetica" w:cs="Helvetica"/>
          <w:color w:val="262626"/>
          <w:sz w:val="20"/>
          <w:szCs w:val="20"/>
        </w:rPr>
        <w:br w:type="column"/>
      </w:r>
      <w:r w:rsidRPr="00A44DAD">
        <w:rPr>
          <w:rFonts w:ascii="Helvetica" w:hAnsi="Helvetica" w:cs="Helvetica"/>
          <w:b/>
          <w:bCs/>
          <w:color w:val="1A1A1A"/>
          <w:sz w:val="20"/>
          <w:szCs w:val="20"/>
        </w:rPr>
        <w:t>Niemetz: 100 Prozent Geld zurück</w:t>
      </w:r>
    </w:p>
    <w:p w14:paraId="6C213078" w14:textId="77777777" w:rsidR="006E50E6" w:rsidRPr="00E72520" w:rsidRDefault="006E50E6" w:rsidP="006E50E6">
      <w:pPr>
        <w:widowControl w:val="0"/>
        <w:autoSpaceDE w:val="0"/>
        <w:autoSpaceDN w:val="0"/>
        <w:adjustRightInd w:val="0"/>
        <w:rPr>
          <w:rFonts w:ascii="Helvetica" w:hAnsi="Helvetica" w:cs="Helvetica"/>
          <w:color w:val="262626"/>
          <w:sz w:val="16"/>
          <w:szCs w:val="16"/>
        </w:rPr>
      </w:pPr>
      <w:r w:rsidRPr="00E72520">
        <w:rPr>
          <w:rFonts w:ascii="Helvetica" w:hAnsi="Helvetica" w:cs="Helvetica"/>
          <w:color w:val="262626"/>
          <w:sz w:val="16"/>
          <w:szCs w:val="16"/>
        </w:rPr>
        <w:t>Seit zu Jahresbeginn die Konkurs-Bombe bei Niemetz geplatzt war, zittern die Gläubiger um ihr Geld. Nach der Übernahme durch die Meinl-Tochter Heidi Chocolat sollen nun alle Schulden zurückbezahlt werden.</w:t>
      </w:r>
    </w:p>
    <w:p w14:paraId="504D4BA7" w14:textId="77777777" w:rsidR="006E50E6" w:rsidRPr="00E72520" w:rsidRDefault="006E50E6" w:rsidP="006E50E6">
      <w:pPr>
        <w:widowControl w:val="0"/>
        <w:autoSpaceDE w:val="0"/>
        <w:autoSpaceDN w:val="0"/>
        <w:adjustRightInd w:val="0"/>
        <w:rPr>
          <w:rFonts w:ascii="Helvetica" w:hAnsi="Helvetica" w:cs="Helvetica"/>
          <w:color w:val="262626"/>
          <w:sz w:val="16"/>
          <w:szCs w:val="16"/>
        </w:rPr>
      </w:pPr>
    </w:p>
    <w:p w14:paraId="405C1A6A" w14:textId="77777777" w:rsidR="006E50E6" w:rsidRPr="00E72520" w:rsidRDefault="006E50E6" w:rsidP="006E50E6">
      <w:pPr>
        <w:widowControl w:val="0"/>
        <w:autoSpaceDE w:val="0"/>
        <w:autoSpaceDN w:val="0"/>
        <w:adjustRightInd w:val="0"/>
        <w:rPr>
          <w:rFonts w:ascii="Helvetica" w:hAnsi="Helvetica" w:cs="Helvetica"/>
          <w:color w:val="262626"/>
          <w:sz w:val="16"/>
          <w:szCs w:val="16"/>
        </w:rPr>
      </w:pPr>
      <w:r w:rsidRPr="00E72520">
        <w:rPr>
          <w:rFonts w:ascii="Helvetica" w:hAnsi="Helvetica" w:cs="Helvetica"/>
          <w:color w:val="262626"/>
          <w:sz w:val="16"/>
          <w:szCs w:val="16"/>
        </w:rPr>
        <w:t>Dass Gläubiger einer insolventen Firma ihr ganzes Geld wiedersehen, kommt extrem selten vor, sagte der Experte des Kreditschutzverbandes (KSV) Roman Tahbaz. „Bei Niemetz hatte man das Glück, dass man das Unternehmen verkaufen konnte.“ Der Meinl-Schokoladenhersteller Heidi Chocolat legte für Niemetz im Mai 6 Millionen Euro auf den Tisch - genug Geld, um die mehr als 4 Millionen Euro an angemeldeten Forderungen bedienen zu können.</w:t>
      </w:r>
    </w:p>
    <w:p w14:paraId="286E18B2" w14:textId="77777777" w:rsidR="006E50E6" w:rsidRPr="00E72520" w:rsidRDefault="006E50E6" w:rsidP="006E50E6">
      <w:pPr>
        <w:widowControl w:val="0"/>
        <w:autoSpaceDE w:val="0"/>
        <w:autoSpaceDN w:val="0"/>
        <w:adjustRightInd w:val="0"/>
        <w:rPr>
          <w:rFonts w:ascii="Helvetica" w:hAnsi="Helvetica" w:cs="Helvetica"/>
          <w:color w:val="262626"/>
          <w:sz w:val="16"/>
          <w:szCs w:val="16"/>
        </w:rPr>
      </w:pPr>
      <w:r w:rsidRPr="00E72520">
        <w:rPr>
          <w:rFonts w:ascii="Helvetica" w:hAnsi="Helvetica" w:cs="Helvetica"/>
          <w:noProof/>
          <w:color w:val="262626"/>
          <w:sz w:val="16"/>
          <w:szCs w:val="16"/>
        </w:rPr>
        <w:drawing>
          <wp:inline distT="0" distB="0" distL="0" distR="0" wp14:anchorId="113AF69F" wp14:editId="1E13F62C">
            <wp:extent cx="1945428" cy="1299768"/>
            <wp:effectExtent l="0" t="0" r="1079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5428" cy="1299768"/>
                    </a:xfrm>
                    <a:prstGeom prst="rect">
                      <a:avLst/>
                    </a:prstGeom>
                    <a:noFill/>
                    <a:ln>
                      <a:noFill/>
                    </a:ln>
                  </pic:spPr>
                </pic:pic>
              </a:graphicData>
            </a:graphic>
          </wp:inline>
        </w:drawing>
      </w:r>
    </w:p>
    <w:p w14:paraId="22B62362" w14:textId="77777777" w:rsidR="006E50E6" w:rsidRPr="00E72520" w:rsidRDefault="006E50E6" w:rsidP="006E50E6">
      <w:pPr>
        <w:widowControl w:val="0"/>
        <w:autoSpaceDE w:val="0"/>
        <w:autoSpaceDN w:val="0"/>
        <w:adjustRightInd w:val="0"/>
        <w:rPr>
          <w:rFonts w:ascii="Helvetica" w:hAnsi="Helvetica" w:cs="Helvetica"/>
          <w:color w:val="949494"/>
          <w:sz w:val="16"/>
          <w:szCs w:val="16"/>
        </w:rPr>
      </w:pPr>
      <w:r w:rsidRPr="00E72520">
        <w:rPr>
          <w:rFonts w:ascii="Helvetica" w:hAnsi="Helvetica" w:cs="Helvetica"/>
          <w:color w:val="949494"/>
          <w:sz w:val="16"/>
          <w:szCs w:val="16"/>
        </w:rPr>
        <w:t>APA/GEORG HOCHMUTH</w:t>
      </w:r>
    </w:p>
    <w:p w14:paraId="40781B5A" w14:textId="77777777" w:rsidR="006E50E6" w:rsidRPr="00E72520" w:rsidRDefault="006E50E6" w:rsidP="006E50E6">
      <w:pPr>
        <w:widowControl w:val="0"/>
        <w:autoSpaceDE w:val="0"/>
        <w:autoSpaceDN w:val="0"/>
        <w:adjustRightInd w:val="0"/>
        <w:rPr>
          <w:rFonts w:ascii="Helvetica" w:hAnsi="Helvetica" w:cs="Helvetica"/>
          <w:color w:val="262626"/>
          <w:sz w:val="16"/>
          <w:szCs w:val="16"/>
        </w:rPr>
      </w:pPr>
      <w:r w:rsidRPr="00E72520">
        <w:rPr>
          <w:rFonts w:ascii="Helvetica" w:hAnsi="Helvetica" w:cs="Helvetica"/>
          <w:color w:val="262626"/>
          <w:sz w:val="16"/>
          <w:szCs w:val="16"/>
        </w:rPr>
        <w:t>Niemetz-Standort in Wien-Landstraße</w:t>
      </w:r>
    </w:p>
    <w:p w14:paraId="5ABE20BD" w14:textId="77777777" w:rsidR="006E50E6" w:rsidRPr="00E72520" w:rsidRDefault="006E50E6" w:rsidP="006E50E6">
      <w:pPr>
        <w:widowControl w:val="0"/>
        <w:autoSpaceDE w:val="0"/>
        <w:autoSpaceDN w:val="0"/>
        <w:adjustRightInd w:val="0"/>
        <w:rPr>
          <w:rFonts w:ascii="Helvetica" w:hAnsi="Helvetica" w:cs="Helvetica"/>
          <w:b/>
          <w:bCs/>
          <w:color w:val="262626"/>
          <w:sz w:val="16"/>
          <w:szCs w:val="16"/>
        </w:rPr>
      </w:pPr>
    </w:p>
    <w:p w14:paraId="4AFAD2B8" w14:textId="77777777" w:rsidR="006E50E6" w:rsidRPr="00E72520" w:rsidRDefault="006E50E6" w:rsidP="006E50E6">
      <w:pPr>
        <w:widowControl w:val="0"/>
        <w:autoSpaceDE w:val="0"/>
        <w:autoSpaceDN w:val="0"/>
        <w:adjustRightInd w:val="0"/>
        <w:rPr>
          <w:rFonts w:ascii="Helvetica" w:hAnsi="Helvetica" w:cs="Helvetica"/>
          <w:b/>
          <w:bCs/>
          <w:color w:val="262626"/>
          <w:sz w:val="16"/>
          <w:szCs w:val="16"/>
        </w:rPr>
      </w:pPr>
      <w:r w:rsidRPr="00E72520">
        <w:rPr>
          <w:rFonts w:ascii="Helvetica" w:hAnsi="Helvetica" w:cs="Helvetica"/>
          <w:b/>
          <w:bCs/>
          <w:color w:val="262626"/>
          <w:sz w:val="16"/>
          <w:szCs w:val="16"/>
        </w:rPr>
        <w:t>Keine Ausfälle für die Gläubiger</w:t>
      </w:r>
    </w:p>
    <w:p w14:paraId="1372B171" w14:textId="77777777" w:rsidR="006E50E6" w:rsidRPr="00E72520" w:rsidRDefault="006E50E6" w:rsidP="006E50E6">
      <w:pPr>
        <w:widowControl w:val="0"/>
        <w:autoSpaceDE w:val="0"/>
        <w:autoSpaceDN w:val="0"/>
        <w:adjustRightInd w:val="0"/>
        <w:rPr>
          <w:rFonts w:ascii="Helvetica" w:hAnsi="Helvetica" w:cs="Helvetica"/>
          <w:color w:val="262626"/>
          <w:sz w:val="16"/>
          <w:szCs w:val="16"/>
        </w:rPr>
      </w:pPr>
      <w:r w:rsidRPr="00E72520">
        <w:rPr>
          <w:rFonts w:ascii="Helvetica" w:hAnsi="Helvetica" w:cs="Helvetica"/>
          <w:color w:val="262626"/>
          <w:sz w:val="16"/>
          <w:szCs w:val="16"/>
        </w:rPr>
        <w:t>Ursprünglich war den Gläubigern lediglich eine Quote von 20 Prozent in Aussicht gestellt worden, dann war von 50 Prozent die Rede. In den nächsten Monaten wird ihnen der Masseverwalter aber nun 100 Prozent ihrer Forderungen ausbezahlen können, teilte der KSV mit. „Das bedeutet, dass es für die Anmeldungen, die anerkannt wurden, keinen Ausfall geben wird und die Gläubiger durch den Konkurs keinen Ausfall ihrer Forderungen erleiden werden“, sagte ein Sprecher des Kreditschützers.</w:t>
      </w:r>
    </w:p>
    <w:p w14:paraId="320DF24D" w14:textId="77777777" w:rsidR="006E50E6" w:rsidRPr="00E72520" w:rsidRDefault="006E50E6" w:rsidP="006E50E6">
      <w:pPr>
        <w:widowControl w:val="0"/>
        <w:autoSpaceDE w:val="0"/>
        <w:autoSpaceDN w:val="0"/>
        <w:adjustRightInd w:val="0"/>
        <w:rPr>
          <w:rFonts w:ascii="Helvetica" w:hAnsi="Helvetica" w:cs="Helvetica"/>
          <w:color w:val="262626"/>
          <w:sz w:val="16"/>
          <w:szCs w:val="16"/>
        </w:rPr>
      </w:pPr>
      <w:r w:rsidRPr="00E72520">
        <w:rPr>
          <w:rFonts w:ascii="Helvetica" w:hAnsi="Helvetica" w:cs="Helvetica"/>
          <w:color w:val="262626"/>
          <w:sz w:val="16"/>
          <w:szCs w:val="16"/>
        </w:rPr>
        <w:t xml:space="preserve">Im Verfahren lägen nun die Beendigungsansprüche von etwa 2,1 Millionen Euro der Arbeitnehmer vor. In einem nächsten Schritt könne der Masseverwalter den Betrag, der auf dem Massekonto liegt, ausbezahlen. „Höchstwahrscheinlich“ bekommen Arbeitnehmer, Lieferanten und Banken ihr Geld noch heuer, sodass das Sanierungsverfahren vor Jahresende beendet werden kann, erwartet Tahbaz. Erst Anfang September hatte Niemetz neues Personal engagiert - mehr dazu in </w:t>
      </w:r>
      <w:hyperlink r:id="rId14" w:history="1">
        <w:r w:rsidRPr="00E72520">
          <w:rPr>
            <w:rFonts w:ascii="Helvetica" w:hAnsi="Helvetica" w:cs="Helvetica"/>
            <w:b/>
            <w:bCs/>
            <w:color w:val="445895"/>
            <w:sz w:val="16"/>
            <w:szCs w:val="16"/>
          </w:rPr>
          <w:t>Niemetz stellt 20 neue Mitarbeiter ein</w:t>
        </w:r>
      </w:hyperlink>
      <w:r w:rsidRPr="00E72520">
        <w:rPr>
          <w:rFonts w:ascii="Helvetica" w:hAnsi="Helvetica" w:cs="Helvetica"/>
          <w:color w:val="262626"/>
          <w:sz w:val="16"/>
          <w:szCs w:val="16"/>
        </w:rPr>
        <w:t>.</w:t>
      </w:r>
    </w:p>
    <w:p w14:paraId="5C153AEE" w14:textId="77777777" w:rsidR="006E50E6" w:rsidRPr="00E72520" w:rsidRDefault="006E50E6" w:rsidP="006E50E6">
      <w:pPr>
        <w:widowControl w:val="0"/>
        <w:autoSpaceDE w:val="0"/>
        <w:autoSpaceDN w:val="0"/>
        <w:adjustRightInd w:val="0"/>
        <w:rPr>
          <w:rFonts w:ascii="Helvetica" w:hAnsi="Helvetica" w:cs="Helvetica"/>
          <w:color w:val="262626"/>
          <w:sz w:val="16"/>
          <w:szCs w:val="16"/>
        </w:rPr>
      </w:pPr>
      <w:r w:rsidRPr="00E72520">
        <w:rPr>
          <w:rFonts w:ascii="Helvetica" w:hAnsi="Helvetica" w:cs="Helvetica"/>
          <w:noProof/>
          <w:color w:val="262626"/>
          <w:sz w:val="16"/>
          <w:szCs w:val="16"/>
        </w:rPr>
        <w:drawing>
          <wp:inline distT="0" distB="0" distL="0" distR="0" wp14:anchorId="7ED7C99A" wp14:editId="375E0E0F">
            <wp:extent cx="1373928" cy="918439"/>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3928" cy="918439"/>
                    </a:xfrm>
                    <a:prstGeom prst="rect">
                      <a:avLst/>
                    </a:prstGeom>
                    <a:noFill/>
                    <a:ln>
                      <a:noFill/>
                    </a:ln>
                  </pic:spPr>
                </pic:pic>
              </a:graphicData>
            </a:graphic>
          </wp:inline>
        </w:drawing>
      </w:r>
    </w:p>
    <w:p w14:paraId="358296D3" w14:textId="77777777" w:rsidR="006E50E6" w:rsidRPr="00E72520" w:rsidRDefault="006E50E6" w:rsidP="006E50E6">
      <w:pPr>
        <w:widowControl w:val="0"/>
        <w:autoSpaceDE w:val="0"/>
        <w:autoSpaceDN w:val="0"/>
        <w:adjustRightInd w:val="0"/>
        <w:rPr>
          <w:rFonts w:ascii="Helvetica" w:hAnsi="Helvetica" w:cs="Helvetica"/>
          <w:color w:val="949494"/>
          <w:sz w:val="16"/>
          <w:szCs w:val="16"/>
        </w:rPr>
      </w:pPr>
      <w:r w:rsidRPr="00E72520">
        <w:rPr>
          <w:rFonts w:ascii="Helvetica" w:hAnsi="Helvetica" w:cs="Helvetica"/>
          <w:color w:val="949494"/>
          <w:sz w:val="16"/>
          <w:szCs w:val="16"/>
        </w:rPr>
        <w:t>ORF</w:t>
      </w:r>
    </w:p>
    <w:p w14:paraId="6DE0F8BD" w14:textId="77777777" w:rsidR="006E50E6" w:rsidRPr="00E72520" w:rsidRDefault="006E50E6" w:rsidP="006E50E6">
      <w:pPr>
        <w:widowControl w:val="0"/>
        <w:autoSpaceDE w:val="0"/>
        <w:autoSpaceDN w:val="0"/>
        <w:adjustRightInd w:val="0"/>
        <w:rPr>
          <w:rFonts w:ascii="Helvetica" w:hAnsi="Helvetica" w:cs="Helvetica"/>
          <w:b/>
          <w:bCs/>
          <w:color w:val="262626"/>
          <w:sz w:val="16"/>
          <w:szCs w:val="16"/>
        </w:rPr>
      </w:pPr>
    </w:p>
    <w:p w14:paraId="6AB34D90" w14:textId="77777777" w:rsidR="006E50E6" w:rsidRPr="00E72520" w:rsidRDefault="006E50E6" w:rsidP="006E50E6">
      <w:pPr>
        <w:widowControl w:val="0"/>
        <w:autoSpaceDE w:val="0"/>
        <w:autoSpaceDN w:val="0"/>
        <w:adjustRightInd w:val="0"/>
        <w:rPr>
          <w:rFonts w:ascii="Helvetica" w:hAnsi="Helvetica" w:cs="Helvetica"/>
          <w:b/>
          <w:bCs/>
          <w:color w:val="262626"/>
          <w:sz w:val="16"/>
          <w:szCs w:val="16"/>
        </w:rPr>
      </w:pPr>
      <w:r w:rsidRPr="00E72520">
        <w:rPr>
          <w:rFonts w:ascii="Helvetica" w:hAnsi="Helvetica" w:cs="Helvetica"/>
          <w:b/>
          <w:bCs/>
          <w:color w:val="262626"/>
          <w:sz w:val="16"/>
          <w:szCs w:val="16"/>
        </w:rPr>
        <w:t>Schwedenbomben-Hamsterkäufe</w:t>
      </w:r>
    </w:p>
    <w:p w14:paraId="7BB38485" w14:textId="77777777" w:rsidR="006E50E6" w:rsidRPr="00E72520" w:rsidRDefault="006E50E6" w:rsidP="006E50E6">
      <w:pPr>
        <w:widowControl w:val="0"/>
        <w:autoSpaceDE w:val="0"/>
        <w:autoSpaceDN w:val="0"/>
        <w:adjustRightInd w:val="0"/>
        <w:rPr>
          <w:rFonts w:ascii="Helvetica" w:hAnsi="Helvetica" w:cs="Helvetica"/>
          <w:color w:val="262626"/>
          <w:sz w:val="16"/>
          <w:szCs w:val="16"/>
        </w:rPr>
      </w:pPr>
      <w:r w:rsidRPr="00E72520">
        <w:rPr>
          <w:rFonts w:ascii="Helvetica" w:hAnsi="Helvetica" w:cs="Helvetica"/>
          <w:color w:val="262626"/>
          <w:sz w:val="16"/>
          <w:szCs w:val="16"/>
        </w:rPr>
        <w:t>Die Schwedenbombenfirma Niemetz rutschte im Februar in die Insolvenz</w:t>
      </w:r>
      <w:proofErr w:type="gramStart"/>
      <w:r w:rsidRPr="00E72520">
        <w:rPr>
          <w:rFonts w:ascii="Helvetica" w:hAnsi="Helvetica" w:cs="Helvetica"/>
          <w:color w:val="262626"/>
          <w:sz w:val="16"/>
          <w:szCs w:val="16"/>
        </w:rPr>
        <w:t>, nachdem</w:t>
      </w:r>
      <w:proofErr w:type="gramEnd"/>
      <w:r w:rsidRPr="00E72520">
        <w:rPr>
          <w:rFonts w:ascii="Helvetica" w:hAnsi="Helvetica" w:cs="Helvetica"/>
          <w:color w:val="262626"/>
          <w:sz w:val="16"/>
          <w:szCs w:val="16"/>
        </w:rPr>
        <w:t xml:space="preserve"> das Unternehmen monatelang ums finanzielle Überleben gekämpft hatte. Es kam zu einer beispiellosen Solidaritätswelle, regelrechten Schwedenbombem-Hamsterkäufen - mehr dazu in </w:t>
      </w:r>
      <w:hyperlink r:id="rId16" w:history="1">
        <w:r w:rsidRPr="00E72520">
          <w:rPr>
            <w:rFonts w:ascii="Helvetica" w:hAnsi="Helvetica" w:cs="Helvetica"/>
            <w:b/>
            <w:bCs/>
            <w:color w:val="445895"/>
            <w:sz w:val="16"/>
            <w:szCs w:val="16"/>
          </w:rPr>
          <w:t>Niemetz: Die Chronologie</w:t>
        </w:r>
      </w:hyperlink>
      <w:r w:rsidRPr="00E72520">
        <w:rPr>
          <w:rFonts w:ascii="Helvetica" w:hAnsi="Helvetica" w:cs="Helvetica"/>
          <w:color w:val="262626"/>
          <w:sz w:val="16"/>
          <w:szCs w:val="16"/>
        </w:rPr>
        <w:t>.</w:t>
      </w:r>
    </w:p>
    <w:p w14:paraId="30EFE225" w14:textId="77777777" w:rsidR="006E50E6" w:rsidRPr="00E72520" w:rsidRDefault="006E50E6" w:rsidP="006E50E6">
      <w:pPr>
        <w:widowControl w:val="0"/>
        <w:autoSpaceDE w:val="0"/>
        <w:autoSpaceDN w:val="0"/>
        <w:adjustRightInd w:val="0"/>
        <w:rPr>
          <w:rFonts w:ascii="Helvetica" w:hAnsi="Helvetica" w:cs="Helvetica"/>
          <w:color w:val="262626"/>
          <w:sz w:val="16"/>
          <w:szCs w:val="16"/>
        </w:rPr>
      </w:pPr>
    </w:p>
    <w:p w14:paraId="7DC37AC8" w14:textId="77777777" w:rsidR="006E50E6" w:rsidRPr="00E72520" w:rsidRDefault="006E50E6" w:rsidP="006E50E6">
      <w:pPr>
        <w:widowControl w:val="0"/>
        <w:autoSpaceDE w:val="0"/>
        <w:autoSpaceDN w:val="0"/>
        <w:adjustRightInd w:val="0"/>
        <w:rPr>
          <w:rFonts w:ascii="Helvetica" w:hAnsi="Helvetica" w:cs="Helvetica"/>
          <w:color w:val="262626"/>
          <w:sz w:val="16"/>
          <w:szCs w:val="16"/>
        </w:rPr>
      </w:pPr>
      <w:r w:rsidRPr="00E72520">
        <w:rPr>
          <w:rFonts w:ascii="Helvetica" w:hAnsi="Helvetica" w:cs="Helvetica"/>
          <w:color w:val="262626"/>
          <w:sz w:val="16"/>
          <w:szCs w:val="16"/>
        </w:rPr>
        <w:t xml:space="preserve">Die Sanierung des Unternehmens scheiterte trotzdem, da bis Mai nicht die erforderlichen 4,2 Mio. Euro zusammenkamen. Schließlich trat Heidi Chocolat auf. Die zum Meinl-Imperium gehörende Schokofirma kaufte Niemetz für rund 6 Mio. Euro - mehr dazu in </w:t>
      </w:r>
      <w:hyperlink r:id="rId17" w:history="1">
        <w:r w:rsidRPr="00E72520">
          <w:rPr>
            <w:rFonts w:ascii="Helvetica" w:hAnsi="Helvetica" w:cs="Helvetica"/>
            <w:b/>
            <w:bCs/>
            <w:color w:val="445895"/>
            <w:sz w:val="16"/>
            <w:szCs w:val="16"/>
          </w:rPr>
          <w:t>Niemetz-Übernahme ist besiegelt</w:t>
        </w:r>
      </w:hyperlink>
      <w:r w:rsidRPr="00E72520">
        <w:rPr>
          <w:rFonts w:ascii="Helvetica" w:hAnsi="Helvetica" w:cs="Helvetica"/>
          <w:color w:val="262626"/>
          <w:sz w:val="16"/>
          <w:szCs w:val="16"/>
        </w:rPr>
        <w:t>.</w:t>
      </w:r>
    </w:p>
    <w:p w14:paraId="4F4A4696" w14:textId="77777777" w:rsidR="006E50E6" w:rsidRDefault="006E50E6" w:rsidP="006E50E6">
      <w:pPr>
        <w:rPr>
          <w:sz w:val="20"/>
          <w:szCs w:val="20"/>
        </w:rPr>
      </w:pPr>
    </w:p>
    <w:p w14:paraId="6F82D31D" w14:textId="77777777" w:rsidR="006E50E6" w:rsidRPr="00E72520" w:rsidRDefault="006E50E6" w:rsidP="006E50E6">
      <w:pPr>
        <w:rPr>
          <w:b/>
          <w:sz w:val="20"/>
          <w:szCs w:val="20"/>
        </w:rPr>
      </w:pPr>
      <w:r w:rsidRPr="00E72520">
        <w:rPr>
          <w:b/>
          <w:sz w:val="20"/>
          <w:szCs w:val="20"/>
        </w:rPr>
        <w:t>Arbeitsaufgaben</w:t>
      </w:r>
    </w:p>
    <w:p w14:paraId="08E9EB96" w14:textId="77777777" w:rsidR="006E50E6" w:rsidRDefault="006E50E6" w:rsidP="006E50E6">
      <w:pPr>
        <w:rPr>
          <w:sz w:val="20"/>
          <w:szCs w:val="20"/>
        </w:rPr>
      </w:pPr>
    </w:p>
    <w:p w14:paraId="10FF8A46" w14:textId="77777777" w:rsidR="006E50E6" w:rsidRPr="00645131" w:rsidRDefault="006E50E6" w:rsidP="006E50E6">
      <w:pPr>
        <w:pStyle w:val="Listenabsatz"/>
        <w:numPr>
          <w:ilvl w:val="0"/>
          <w:numId w:val="15"/>
        </w:numPr>
        <w:rPr>
          <w:b/>
          <w:sz w:val="20"/>
          <w:szCs w:val="20"/>
        </w:rPr>
      </w:pPr>
      <w:r w:rsidRPr="00645131">
        <w:rPr>
          <w:b/>
          <w:sz w:val="20"/>
          <w:szCs w:val="20"/>
        </w:rPr>
        <w:t>Geben Sie einen Überblick über die Auslöser von Krisen und über die Warnsignale. Nennen Sie Beispiele beim Fall Niemetz.</w:t>
      </w:r>
    </w:p>
    <w:p w14:paraId="36685C6C" w14:textId="77777777" w:rsidR="006E50E6" w:rsidRPr="00645131" w:rsidRDefault="006E50E6" w:rsidP="006E50E6">
      <w:pPr>
        <w:rPr>
          <w:b/>
          <w:sz w:val="20"/>
          <w:szCs w:val="20"/>
        </w:rPr>
      </w:pPr>
    </w:p>
    <w:p w14:paraId="5CAE6F87" w14:textId="77777777" w:rsidR="006E50E6" w:rsidRPr="00645131" w:rsidRDefault="006E50E6" w:rsidP="006E50E6">
      <w:pPr>
        <w:pStyle w:val="Listenabsatz"/>
        <w:numPr>
          <w:ilvl w:val="0"/>
          <w:numId w:val="15"/>
        </w:numPr>
        <w:rPr>
          <w:b/>
          <w:sz w:val="20"/>
          <w:szCs w:val="20"/>
        </w:rPr>
      </w:pPr>
      <w:r w:rsidRPr="00645131">
        <w:rPr>
          <w:b/>
          <w:sz w:val="20"/>
          <w:szCs w:val="20"/>
        </w:rPr>
        <w:t>Welche Maßnahmen hätte Niemetz ergeifen können um ein gerichtliches Verfahren zu vermeiden.</w:t>
      </w:r>
    </w:p>
    <w:p w14:paraId="2AF97525" w14:textId="77777777" w:rsidR="006E50E6" w:rsidRPr="00645131" w:rsidRDefault="006E50E6" w:rsidP="006E50E6">
      <w:pPr>
        <w:rPr>
          <w:b/>
          <w:sz w:val="20"/>
          <w:szCs w:val="20"/>
        </w:rPr>
      </w:pPr>
    </w:p>
    <w:p w14:paraId="3F0FE3E2" w14:textId="77777777" w:rsidR="006E50E6" w:rsidRPr="00645131" w:rsidRDefault="006E50E6" w:rsidP="006E50E6">
      <w:pPr>
        <w:pStyle w:val="Listenabsatz"/>
        <w:numPr>
          <w:ilvl w:val="0"/>
          <w:numId w:val="15"/>
        </w:numPr>
        <w:rPr>
          <w:b/>
          <w:sz w:val="20"/>
          <w:szCs w:val="20"/>
        </w:rPr>
      </w:pPr>
      <w:r w:rsidRPr="00645131">
        <w:rPr>
          <w:b/>
          <w:sz w:val="20"/>
          <w:szCs w:val="20"/>
        </w:rPr>
        <w:t>Grundsätzlich unterscheidet man zwischen Sanierungs- und Konkursverfahren. Unterscheiden Sie diese und ordnen Sie Niemetz ein.</w:t>
      </w:r>
    </w:p>
    <w:p w14:paraId="5FA62DF7" w14:textId="77777777" w:rsidR="006E50E6" w:rsidRPr="00645131" w:rsidRDefault="006E50E6" w:rsidP="006E50E6">
      <w:pPr>
        <w:rPr>
          <w:b/>
          <w:sz w:val="20"/>
          <w:szCs w:val="20"/>
        </w:rPr>
      </w:pPr>
    </w:p>
    <w:p w14:paraId="053E46E8" w14:textId="77777777" w:rsidR="006E50E6" w:rsidRPr="00645131" w:rsidRDefault="006E50E6" w:rsidP="006E50E6">
      <w:pPr>
        <w:pStyle w:val="Listenabsatz"/>
        <w:numPr>
          <w:ilvl w:val="0"/>
          <w:numId w:val="15"/>
        </w:numPr>
        <w:rPr>
          <w:b/>
          <w:sz w:val="20"/>
          <w:szCs w:val="20"/>
        </w:rPr>
      </w:pPr>
      <w:r w:rsidRPr="00645131">
        <w:rPr>
          <w:b/>
          <w:sz w:val="20"/>
          <w:szCs w:val="20"/>
        </w:rPr>
        <w:t>Beschreiben Sie welche Arten von Forderungen grundsätzlich im Insolvenzverfahren gegeben sind.</w:t>
      </w:r>
    </w:p>
    <w:p w14:paraId="4132F485" w14:textId="77777777" w:rsidR="006E50E6" w:rsidRPr="00645131" w:rsidRDefault="006E50E6" w:rsidP="006E50E6">
      <w:pPr>
        <w:rPr>
          <w:b/>
          <w:sz w:val="20"/>
          <w:szCs w:val="20"/>
        </w:rPr>
      </w:pPr>
    </w:p>
    <w:p w14:paraId="5ADB5BAB" w14:textId="77777777" w:rsidR="006E50E6" w:rsidRPr="00645131" w:rsidRDefault="006E50E6" w:rsidP="006E50E6">
      <w:pPr>
        <w:pStyle w:val="Listenabsatz"/>
        <w:numPr>
          <w:ilvl w:val="0"/>
          <w:numId w:val="15"/>
        </w:numPr>
        <w:rPr>
          <w:b/>
          <w:sz w:val="20"/>
          <w:szCs w:val="20"/>
        </w:rPr>
      </w:pPr>
      <w:r w:rsidRPr="00645131">
        <w:rPr>
          <w:b/>
          <w:sz w:val="20"/>
          <w:szCs w:val="20"/>
        </w:rPr>
        <w:t>Wie ist der Ablauf der Insolvenz im Privatbereich geregelt.</w:t>
      </w:r>
    </w:p>
    <w:p w14:paraId="2C58A8A8" w14:textId="77777777" w:rsidR="006E50E6" w:rsidRPr="00645131" w:rsidRDefault="006E50E6" w:rsidP="006E50E6">
      <w:pPr>
        <w:rPr>
          <w:b/>
          <w:sz w:val="20"/>
          <w:szCs w:val="20"/>
        </w:rPr>
      </w:pPr>
    </w:p>
    <w:p w14:paraId="604B0055" w14:textId="77777777" w:rsidR="006E50E6" w:rsidRPr="00645131" w:rsidRDefault="006E50E6" w:rsidP="006E50E6">
      <w:pPr>
        <w:rPr>
          <w:b/>
          <w:sz w:val="20"/>
          <w:szCs w:val="20"/>
        </w:rPr>
      </w:pPr>
    </w:p>
    <w:p w14:paraId="4AD868BC" w14:textId="77777777" w:rsidR="00DE1E7C" w:rsidRPr="003726E2" w:rsidRDefault="00DE1E7C" w:rsidP="006452DF">
      <w:pPr>
        <w:pStyle w:val="StandardWeb"/>
        <w:rPr>
          <w:rFonts w:ascii="Tahoma" w:hAnsi="Tahoma" w:cs="Tahoma"/>
          <w:sz w:val="20"/>
          <w:szCs w:val="20"/>
        </w:rPr>
      </w:pPr>
      <w:bookmarkStart w:id="0" w:name="_GoBack"/>
      <w:bookmarkEnd w:id="0"/>
    </w:p>
    <w:sectPr w:rsidR="00DE1E7C" w:rsidRPr="003726E2" w:rsidSect="00747355">
      <w:head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CBC1D" w14:textId="77777777" w:rsidR="00701D8D" w:rsidRDefault="00701D8D">
      <w:r>
        <w:separator/>
      </w:r>
    </w:p>
  </w:endnote>
  <w:endnote w:type="continuationSeparator" w:id="0">
    <w:p w14:paraId="75EE336F" w14:textId="77777777" w:rsidR="00701D8D" w:rsidRDefault="0070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calaSansLF">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69AA9" w14:textId="77777777" w:rsidR="00701D8D" w:rsidRDefault="00701D8D">
      <w:r>
        <w:separator/>
      </w:r>
    </w:p>
  </w:footnote>
  <w:footnote w:type="continuationSeparator" w:id="0">
    <w:p w14:paraId="0736A66A" w14:textId="77777777" w:rsidR="00701D8D" w:rsidRDefault="00701D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6E95" w14:textId="59B2CBAD" w:rsidR="00701D8D" w:rsidRPr="00D43F58" w:rsidRDefault="00701D8D" w:rsidP="00695760">
    <w:pPr>
      <w:pStyle w:val="Kopfzeile"/>
      <w:shd w:val="clear" w:color="auto" w:fill="D9D9D9"/>
      <w:ind w:left="-426"/>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84C"/>
    <w:multiLevelType w:val="multilevel"/>
    <w:tmpl w:val="17C2D0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20730"/>
    <w:multiLevelType w:val="hybridMultilevel"/>
    <w:tmpl w:val="74FE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097EB9"/>
    <w:multiLevelType w:val="hybridMultilevel"/>
    <w:tmpl w:val="9C62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941CE2"/>
    <w:multiLevelType w:val="multilevel"/>
    <w:tmpl w:val="7A545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774A5"/>
    <w:multiLevelType w:val="multilevel"/>
    <w:tmpl w:val="3AA8B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D4607"/>
    <w:multiLevelType w:val="multilevel"/>
    <w:tmpl w:val="6312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C1E96"/>
    <w:multiLevelType w:val="hybridMultilevel"/>
    <w:tmpl w:val="A90265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4B654C"/>
    <w:multiLevelType w:val="hybridMultilevel"/>
    <w:tmpl w:val="BBF2AB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E7E08FC"/>
    <w:multiLevelType w:val="hybridMultilevel"/>
    <w:tmpl w:val="553AE220"/>
    <w:lvl w:ilvl="0" w:tplc="E02CB7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59183010"/>
    <w:multiLevelType w:val="hybridMultilevel"/>
    <w:tmpl w:val="875C53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EDA09DC"/>
    <w:multiLevelType w:val="multilevel"/>
    <w:tmpl w:val="C17C44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EB157C"/>
    <w:multiLevelType w:val="hybridMultilevel"/>
    <w:tmpl w:val="1FB60F7C"/>
    <w:lvl w:ilvl="0" w:tplc="0C07000F">
      <w:start w:val="1"/>
      <w:numFmt w:val="decimal"/>
      <w:lvlText w:val="%1."/>
      <w:lvlJc w:val="left"/>
      <w:pPr>
        <w:ind w:left="720" w:hanging="360"/>
      </w:pPr>
      <w:rPr>
        <w:rFonts w:cs="Times New Roman" w:hint="default"/>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nsid w:val="60C12890"/>
    <w:multiLevelType w:val="hybridMultilevel"/>
    <w:tmpl w:val="95960B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A052E6"/>
    <w:multiLevelType w:val="hybridMultilevel"/>
    <w:tmpl w:val="30241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351398B"/>
    <w:multiLevelType w:val="hybridMultilevel"/>
    <w:tmpl w:val="8A0689F0"/>
    <w:lvl w:ilvl="0" w:tplc="B9C0A330">
      <w:start w:val="1"/>
      <w:numFmt w:val="bullet"/>
      <w:lvlText w:val=""/>
      <w:lvlJc w:val="left"/>
      <w:pPr>
        <w:tabs>
          <w:tab w:val="num" w:pos="1800"/>
        </w:tabs>
        <w:ind w:left="1800" w:hanging="360"/>
      </w:pPr>
      <w:rPr>
        <w:rFonts w:ascii="Wingdings 2" w:hAnsi="Wingdings 2" w:hint="default"/>
        <w:color w:val="808080"/>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2"/>
  </w:num>
  <w:num w:numId="3">
    <w:abstractNumId w:val="1"/>
  </w:num>
  <w:num w:numId="4">
    <w:abstractNumId w:val="13"/>
  </w:num>
  <w:num w:numId="5">
    <w:abstractNumId w:val="6"/>
  </w:num>
  <w:num w:numId="6">
    <w:abstractNumId w:val="8"/>
  </w:num>
  <w:num w:numId="7">
    <w:abstractNumId w:val="11"/>
  </w:num>
  <w:num w:numId="8">
    <w:abstractNumId w:val="14"/>
  </w:num>
  <w:num w:numId="9">
    <w:abstractNumId w:val="9"/>
  </w:num>
  <w:num w:numId="10">
    <w:abstractNumId w:val="10"/>
  </w:num>
  <w:num w:numId="11">
    <w:abstractNumId w:val="4"/>
  </w:num>
  <w:num w:numId="12">
    <w:abstractNumId w:val="0"/>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57"/>
    <w:rsid w:val="00034C86"/>
    <w:rsid w:val="000E348E"/>
    <w:rsid w:val="00146100"/>
    <w:rsid w:val="001600CD"/>
    <w:rsid w:val="001A1E68"/>
    <w:rsid w:val="00261CAA"/>
    <w:rsid w:val="0027581F"/>
    <w:rsid w:val="002A544D"/>
    <w:rsid w:val="002D0984"/>
    <w:rsid w:val="00331CC5"/>
    <w:rsid w:val="00331DF5"/>
    <w:rsid w:val="00356077"/>
    <w:rsid w:val="00357973"/>
    <w:rsid w:val="003726E2"/>
    <w:rsid w:val="0039480A"/>
    <w:rsid w:val="004D66E2"/>
    <w:rsid w:val="00524A1F"/>
    <w:rsid w:val="005A4D99"/>
    <w:rsid w:val="00616857"/>
    <w:rsid w:val="00620412"/>
    <w:rsid w:val="006452DF"/>
    <w:rsid w:val="00695760"/>
    <w:rsid w:val="006C591E"/>
    <w:rsid w:val="006E50E6"/>
    <w:rsid w:val="00701D8D"/>
    <w:rsid w:val="00747355"/>
    <w:rsid w:val="007A0A06"/>
    <w:rsid w:val="00864B47"/>
    <w:rsid w:val="0087772F"/>
    <w:rsid w:val="008E6F7A"/>
    <w:rsid w:val="009159C6"/>
    <w:rsid w:val="009323FB"/>
    <w:rsid w:val="009416E5"/>
    <w:rsid w:val="00A003C4"/>
    <w:rsid w:val="00A11587"/>
    <w:rsid w:val="00A209A0"/>
    <w:rsid w:val="00A243DA"/>
    <w:rsid w:val="00A47935"/>
    <w:rsid w:val="00AF1D75"/>
    <w:rsid w:val="00B329CC"/>
    <w:rsid w:val="00B6280E"/>
    <w:rsid w:val="00B75BB3"/>
    <w:rsid w:val="00B90940"/>
    <w:rsid w:val="00BB2E4A"/>
    <w:rsid w:val="00BB40C7"/>
    <w:rsid w:val="00BD436B"/>
    <w:rsid w:val="00C35A06"/>
    <w:rsid w:val="00CA3A1A"/>
    <w:rsid w:val="00CD3250"/>
    <w:rsid w:val="00D31AF4"/>
    <w:rsid w:val="00D45A57"/>
    <w:rsid w:val="00DD23AD"/>
    <w:rsid w:val="00DD434F"/>
    <w:rsid w:val="00DE1E7C"/>
    <w:rsid w:val="00E32BCE"/>
    <w:rsid w:val="00E41A1B"/>
    <w:rsid w:val="00E74376"/>
    <w:rsid w:val="00EB3FC5"/>
    <w:rsid w:val="00F24CC1"/>
    <w:rsid w:val="00F95A65"/>
    <w:rsid w:val="00FB1549"/>
    <w:rsid w:val="00FB632A"/>
    <w:rsid w:val="00FC0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C5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A57"/>
    <w:rPr>
      <w:rFonts w:ascii="Times New Roman" w:eastAsia="Times New Roman" w:hAnsi="Times New Roman" w:cs="Times New Roman"/>
    </w:rPr>
  </w:style>
  <w:style w:type="paragraph" w:styleId="berschrift1">
    <w:name w:val="heading 1"/>
    <w:basedOn w:val="Standard"/>
    <w:next w:val="Standard"/>
    <w:link w:val="berschrift1Zeichen"/>
    <w:qFormat/>
    <w:rsid w:val="002D0984"/>
    <w:pPr>
      <w:keepNext/>
      <w:jc w:val="center"/>
      <w:outlineLvl w:val="0"/>
    </w:pPr>
    <w:rPr>
      <w:rFonts w:ascii="Comic Sans MS" w:hAnsi="Comic Sans MS"/>
      <w:b/>
      <w:bCs/>
      <w:sz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A57"/>
    <w:pPr>
      <w:ind w:left="720"/>
      <w:contextualSpacing/>
    </w:pPr>
  </w:style>
  <w:style w:type="paragraph" w:styleId="Sprechblasentext">
    <w:name w:val="Balloon Text"/>
    <w:basedOn w:val="Standard"/>
    <w:link w:val="SprechblasentextZeichen"/>
    <w:uiPriority w:val="99"/>
    <w:semiHidden/>
    <w:unhideWhenUsed/>
    <w:rsid w:val="00D45A5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45A57"/>
    <w:rPr>
      <w:rFonts w:ascii="Lucida Grande" w:eastAsia="Times New Roman" w:hAnsi="Lucida Grande" w:cs="Lucida Grande"/>
      <w:sz w:val="18"/>
      <w:szCs w:val="18"/>
    </w:rPr>
  </w:style>
  <w:style w:type="character" w:customStyle="1" w:styleId="berschrift1Zeichen">
    <w:name w:val="Überschrift 1 Zeichen"/>
    <w:basedOn w:val="Absatzstandardschriftart"/>
    <w:link w:val="berschrift1"/>
    <w:rsid w:val="002D0984"/>
    <w:rPr>
      <w:rFonts w:ascii="Comic Sans MS" w:eastAsia="Times New Roman" w:hAnsi="Comic Sans MS" w:cs="Times New Roman"/>
      <w:b/>
      <w:bCs/>
      <w:sz w:val="22"/>
      <w:lang w:val="it-IT"/>
    </w:rPr>
  </w:style>
  <w:style w:type="paragraph" w:styleId="Kopfzeile">
    <w:name w:val="header"/>
    <w:basedOn w:val="Standard"/>
    <w:link w:val="KopfzeileZeichen"/>
    <w:uiPriority w:val="99"/>
    <w:rsid w:val="002D0984"/>
    <w:pPr>
      <w:tabs>
        <w:tab w:val="center" w:pos="4536"/>
        <w:tab w:val="right" w:pos="9072"/>
      </w:tabs>
    </w:pPr>
  </w:style>
  <w:style w:type="character" w:customStyle="1" w:styleId="KopfzeileZeichen">
    <w:name w:val="Kopfzeile Zeichen"/>
    <w:basedOn w:val="Absatzstandardschriftart"/>
    <w:link w:val="Kopfzeile"/>
    <w:uiPriority w:val="99"/>
    <w:rsid w:val="002D0984"/>
    <w:rPr>
      <w:rFonts w:ascii="Times New Roman" w:eastAsia="Times New Roman" w:hAnsi="Times New Roman" w:cs="Times New Roman"/>
    </w:rPr>
  </w:style>
  <w:style w:type="paragraph" w:customStyle="1" w:styleId="Formatvorlage1">
    <w:name w:val="Formatvorlage1"/>
    <w:basedOn w:val="Standard"/>
    <w:autoRedefine/>
    <w:rsid w:val="002D0984"/>
    <w:pPr>
      <w:spacing w:before="20" w:after="20"/>
      <w:ind w:left="-4"/>
    </w:pPr>
    <w:rPr>
      <w:rFonts w:ascii="Century Gothic" w:hAnsi="Century Gothic"/>
      <w:kern w:val="28"/>
      <w:sz w:val="19"/>
      <w:szCs w:val="20"/>
    </w:rPr>
  </w:style>
  <w:style w:type="character" w:styleId="Link">
    <w:name w:val="Hyperlink"/>
    <w:basedOn w:val="Absatzstandardschriftart"/>
    <w:uiPriority w:val="99"/>
    <w:unhideWhenUsed/>
    <w:rsid w:val="003726E2"/>
    <w:rPr>
      <w:color w:val="0000FF" w:themeColor="hyperlink"/>
      <w:u w:val="single"/>
    </w:rPr>
  </w:style>
  <w:style w:type="paragraph" w:customStyle="1" w:styleId="Listenabsatz1">
    <w:name w:val="Listenabsatz1"/>
    <w:basedOn w:val="Standard"/>
    <w:rsid w:val="00B329CC"/>
    <w:pPr>
      <w:spacing w:after="200" w:line="276" w:lineRule="auto"/>
      <w:ind w:left="720"/>
      <w:contextualSpacing/>
    </w:pPr>
    <w:rPr>
      <w:rFonts w:ascii="Calibri" w:hAnsi="Calibri"/>
      <w:sz w:val="22"/>
      <w:szCs w:val="22"/>
      <w:lang w:val="de-AT" w:eastAsia="en-US"/>
    </w:rPr>
  </w:style>
  <w:style w:type="paragraph" w:styleId="StandardWeb">
    <w:name w:val="Normal (Web)"/>
    <w:basedOn w:val="Standard"/>
    <w:uiPriority w:val="99"/>
    <w:unhideWhenUsed/>
    <w:rsid w:val="00B329CC"/>
    <w:pPr>
      <w:spacing w:before="100" w:beforeAutospacing="1" w:after="100" w:afterAutospacing="1"/>
    </w:pPr>
  </w:style>
  <w:style w:type="paragraph" w:styleId="Fuzeile">
    <w:name w:val="footer"/>
    <w:basedOn w:val="Standard"/>
    <w:link w:val="FuzeileZeichen"/>
    <w:uiPriority w:val="99"/>
    <w:unhideWhenUsed/>
    <w:rsid w:val="006C591E"/>
    <w:pPr>
      <w:tabs>
        <w:tab w:val="center" w:pos="4536"/>
        <w:tab w:val="right" w:pos="9072"/>
      </w:tabs>
    </w:pPr>
  </w:style>
  <w:style w:type="character" w:customStyle="1" w:styleId="FuzeileZeichen">
    <w:name w:val="Fußzeile Zeichen"/>
    <w:basedOn w:val="Absatzstandardschriftart"/>
    <w:link w:val="Fuzeile"/>
    <w:uiPriority w:val="99"/>
    <w:rsid w:val="006C591E"/>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A57"/>
    <w:rPr>
      <w:rFonts w:ascii="Times New Roman" w:eastAsia="Times New Roman" w:hAnsi="Times New Roman" w:cs="Times New Roman"/>
    </w:rPr>
  </w:style>
  <w:style w:type="paragraph" w:styleId="berschrift1">
    <w:name w:val="heading 1"/>
    <w:basedOn w:val="Standard"/>
    <w:next w:val="Standard"/>
    <w:link w:val="berschrift1Zeichen"/>
    <w:qFormat/>
    <w:rsid w:val="002D0984"/>
    <w:pPr>
      <w:keepNext/>
      <w:jc w:val="center"/>
      <w:outlineLvl w:val="0"/>
    </w:pPr>
    <w:rPr>
      <w:rFonts w:ascii="Comic Sans MS" w:hAnsi="Comic Sans MS"/>
      <w:b/>
      <w:bCs/>
      <w:sz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A57"/>
    <w:pPr>
      <w:ind w:left="720"/>
      <w:contextualSpacing/>
    </w:pPr>
  </w:style>
  <w:style w:type="paragraph" w:styleId="Sprechblasentext">
    <w:name w:val="Balloon Text"/>
    <w:basedOn w:val="Standard"/>
    <w:link w:val="SprechblasentextZeichen"/>
    <w:uiPriority w:val="99"/>
    <w:semiHidden/>
    <w:unhideWhenUsed/>
    <w:rsid w:val="00D45A5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45A57"/>
    <w:rPr>
      <w:rFonts w:ascii="Lucida Grande" w:eastAsia="Times New Roman" w:hAnsi="Lucida Grande" w:cs="Lucida Grande"/>
      <w:sz w:val="18"/>
      <w:szCs w:val="18"/>
    </w:rPr>
  </w:style>
  <w:style w:type="character" w:customStyle="1" w:styleId="berschrift1Zeichen">
    <w:name w:val="Überschrift 1 Zeichen"/>
    <w:basedOn w:val="Absatzstandardschriftart"/>
    <w:link w:val="berschrift1"/>
    <w:rsid w:val="002D0984"/>
    <w:rPr>
      <w:rFonts w:ascii="Comic Sans MS" w:eastAsia="Times New Roman" w:hAnsi="Comic Sans MS" w:cs="Times New Roman"/>
      <w:b/>
      <w:bCs/>
      <w:sz w:val="22"/>
      <w:lang w:val="it-IT"/>
    </w:rPr>
  </w:style>
  <w:style w:type="paragraph" w:styleId="Kopfzeile">
    <w:name w:val="header"/>
    <w:basedOn w:val="Standard"/>
    <w:link w:val="KopfzeileZeichen"/>
    <w:uiPriority w:val="99"/>
    <w:rsid w:val="002D0984"/>
    <w:pPr>
      <w:tabs>
        <w:tab w:val="center" w:pos="4536"/>
        <w:tab w:val="right" w:pos="9072"/>
      </w:tabs>
    </w:pPr>
  </w:style>
  <w:style w:type="character" w:customStyle="1" w:styleId="KopfzeileZeichen">
    <w:name w:val="Kopfzeile Zeichen"/>
    <w:basedOn w:val="Absatzstandardschriftart"/>
    <w:link w:val="Kopfzeile"/>
    <w:uiPriority w:val="99"/>
    <w:rsid w:val="002D0984"/>
    <w:rPr>
      <w:rFonts w:ascii="Times New Roman" w:eastAsia="Times New Roman" w:hAnsi="Times New Roman" w:cs="Times New Roman"/>
    </w:rPr>
  </w:style>
  <w:style w:type="paragraph" w:customStyle="1" w:styleId="Formatvorlage1">
    <w:name w:val="Formatvorlage1"/>
    <w:basedOn w:val="Standard"/>
    <w:autoRedefine/>
    <w:rsid w:val="002D0984"/>
    <w:pPr>
      <w:spacing w:before="20" w:after="20"/>
      <w:ind w:left="-4"/>
    </w:pPr>
    <w:rPr>
      <w:rFonts w:ascii="Century Gothic" w:hAnsi="Century Gothic"/>
      <w:kern w:val="28"/>
      <w:sz w:val="19"/>
      <w:szCs w:val="20"/>
    </w:rPr>
  </w:style>
  <w:style w:type="character" w:styleId="Link">
    <w:name w:val="Hyperlink"/>
    <w:basedOn w:val="Absatzstandardschriftart"/>
    <w:uiPriority w:val="99"/>
    <w:unhideWhenUsed/>
    <w:rsid w:val="003726E2"/>
    <w:rPr>
      <w:color w:val="0000FF" w:themeColor="hyperlink"/>
      <w:u w:val="single"/>
    </w:rPr>
  </w:style>
  <w:style w:type="paragraph" w:customStyle="1" w:styleId="Listenabsatz1">
    <w:name w:val="Listenabsatz1"/>
    <w:basedOn w:val="Standard"/>
    <w:rsid w:val="00B329CC"/>
    <w:pPr>
      <w:spacing w:after="200" w:line="276" w:lineRule="auto"/>
      <w:ind w:left="720"/>
      <w:contextualSpacing/>
    </w:pPr>
    <w:rPr>
      <w:rFonts w:ascii="Calibri" w:hAnsi="Calibri"/>
      <w:sz w:val="22"/>
      <w:szCs w:val="22"/>
      <w:lang w:val="de-AT" w:eastAsia="en-US"/>
    </w:rPr>
  </w:style>
  <w:style w:type="paragraph" w:styleId="StandardWeb">
    <w:name w:val="Normal (Web)"/>
    <w:basedOn w:val="Standard"/>
    <w:uiPriority w:val="99"/>
    <w:unhideWhenUsed/>
    <w:rsid w:val="00B329CC"/>
    <w:pPr>
      <w:spacing w:before="100" w:beforeAutospacing="1" w:after="100" w:afterAutospacing="1"/>
    </w:pPr>
  </w:style>
  <w:style w:type="paragraph" w:styleId="Fuzeile">
    <w:name w:val="footer"/>
    <w:basedOn w:val="Standard"/>
    <w:link w:val="FuzeileZeichen"/>
    <w:uiPriority w:val="99"/>
    <w:unhideWhenUsed/>
    <w:rsid w:val="006C591E"/>
    <w:pPr>
      <w:tabs>
        <w:tab w:val="center" w:pos="4536"/>
        <w:tab w:val="right" w:pos="9072"/>
      </w:tabs>
    </w:pPr>
  </w:style>
  <w:style w:type="character" w:customStyle="1" w:styleId="FuzeileZeichen">
    <w:name w:val="Fußzeile Zeichen"/>
    <w:basedOn w:val="Absatzstandardschriftart"/>
    <w:link w:val="Fuzeile"/>
    <w:uiPriority w:val="99"/>
    <w:rsid w:val="006C59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3105">
      <w:bodyDiv w:val="1"/>
      <w:marLeft w:val="0"/>
      <w:marRight w:val="0"/>
      <w:marTop w:val="0"/>
      <w:marBottom w:val="0"/>
      <w:divBdr>
        <w:top w:val="none" w:sz="0" w:space="0" w:color="auto"/>
        <w:left w:val="none" w:sz="0" w:space="0" w:color="auto"/>
        <w:bottom w:val="none" w:sz="0" w:space="0" w:color="auto"/>
        <w:right w:val="none" w:sz="0" w:space="0" w:color="auto"/>
      </w:divBdr>
    </w:div>
    <w:div w:id="691996248">
      <w:bodyDiv w:val="1"/>
      <w:marLeft w:val="0"/>
      <w:marRight w:val="0"/>
      <w:marTop w:val="0"/>
      <w:marBottom w:val="0"/>
      <w:divBdr>
        <w:top w:val="none" w:sz="0" w:space="0" w:color="auto"/>
        <w:left w:val="none" w:sz="0" w:space="0" w:color="auto"/>
        <w:bottom w:val="none" w:sz="0" w:space="0" w:color="auto"/>
        <w:right w:val="none" w:sz="0" w:space="0" w:color="auto"/>
      </w:divBdr>
      <w:divsChild>
        <w:div w:id="496850684">
          <w:marLeft w:val="0"/>
          <w:marRight w:val="0"/>
          <w:marTop w:val="0"/>
          <w:marBottom w:val="0"/>
          <w:divBdr>
            <w:top w:val="none" w:sz="0" w:space="0" w:color="auto"/>
            <w:left w:val="none" w:sz="0" w:space="0" w:color="auto"/>
            <w:bottom w:val="none" w:sz="0" w:space="0" w:color="auto"/>
            <w:right w:val="none" w:sz="0" w:space="0" w:color="auto"/>
          </w:divBdr>
          <w:divsChild>
            <w:div w:id="563377152">
              <w:marLeft w:val="0"/>
              <w:marRight w:val="0"/>
              <w:marTop w:val="0"/>
              <w:marBottom w:val="0"/>
              <w:divBdr>
                <w:top w:val="none" w:sz="0" w:space="0" w:color="auto"/>
                <w:left w:val="none" w:sz="0" w:space="0" w:color="auto"/>
                <w:bottom w:val="none" w:sz="0" w:space="0" w:color="auto"/>
                <w:right w:val="none" w:sz="0" w:space="0" w:color="auto"/>
              </w:divBdr>
              <w:divsChild>
                <w:div w:id="1107508306">
                  <w:marLeft w:val="0"/>
                  <w:marRight w:val="0"/>
                  <w:marTop w:val="0"/>
                  <w:marBottom w:val="0"/>
                  <w:divBdr>
                    <w:top w:val="none" w:sz="0" w:space="0" w:color="auto"/>
                    <w:left w:val="none" w:sz="0" w:space="0" w:color="auto"/>
                    <w:bottom w:val="none" w:sz="0" w:space="0" w:color="auto"/>
                    <w:right w:val="none" w:sz="0" w:space="0" w:color="auto"/>
                  </w:divBdr>
                </w:div>
              </w:divsChild>
            </w:div>
            <w:div w:id="1808544999">
              <w:marLeft w:val="0"/>
              <w:marRight w:val="0"/>
              <w:marTop w:val="0"/>
              <w:marBottom w:val="0"/>
              <w:divBdr>
                <w:top w:val="none" w:sz="0" w:space="0" w:color="auto"/>
                <w:left w:val="none" w:sz="0" w:space="0" w:color="auto"/>
                <w:bottom w:val="none" w:sz="0" w:space="0" w:color="auto"/>
                <w:right w:val="none" w:sz="0" w:space="0" w:color="auto"/>
              </w:divBdr>
              <w:divsChild>
                <w:div w:id="1298295548">
                  <w:marLeft w:val="0"/>
                  <w:marRight w:val="0"/>
                  <w:marTop w:val="0"/>
                  <w:marBottom w:val="0"/>
                  <w:divBdr>
                    <w:top w:val="none" w:sz="0" w:space="0" w:color="auto"/>
                    <w:left w:val="none" w:sz="0" w:space="0" w:color="auto"/>
                    <w:bottom w:val="none" w:sz="0" w:space="0" w:color="auto"/>
                    <w:right w:val="none" w:sz="0" w:space="0" w:color="auto"/>
                  </w:divBdr>
                </w:div>
              </w:divsChild>
            </w:div>
            <w:div w:id="1796874633">
              <w:marLeft w:val="0"/>
              <w:marRight w:val="0"/>
              <w:marTop w:val="0"/>
              <w:marBottom w:val="0"/>
              <w:divBdr>
                <w:top w:val="none" w:sz="0" w:space="0" w:color="auto"/>
                <w:left w:val="none" w:sz="0" w:space="0" w:color="auto"/>
                <w:bottom w:val="none" w:sz="0" w:space="0" w:color="auto"/>
                <w:right w:val="none" w:sz="0" w:space="0" w:color="auto"/>
              </w:divBdr>
              <w:divsChild>
                <w:div w:id="471100805">
                  <w:marLeft w:val="0"/>
                  <w:marRight w:val="0"/>
                  <w:marTop w:val="0"/>
                  <w:marBottom w:val="0"/>
                  <w:divBdr>
                    <w:top w:val="none" w:sz="0" w:space="0" w:color="auto"/>
                    <w:left w:val="none" w:sz="0" w:space="0" w:color="auto"/>
                    <w:bottom w:val="none" w:sz="0" w:space="0" w:color="auto"/>
                    <w:right w:val="none" w:sz="0" w:space="0" w:color="auto"/>
                  </w:divBdr>
                </w:div>
                <w:div w:id="818570141">
                  <w:marLeft w:val="0"/>
                  <w:marRight w:val="0"/>
                  <w:marTop w:val="0"/>
                  <w:marBottom w:val="0"/>
                  <w:divBdr>
                    <w:top w:val="none" w:sz="0" w:space="0" w:color="auto"/>
                    <w:left w:val="none" w:sz="0" w:space="0" w:color="auto"/>
                    <w:bottom w:val="none" w:sz="0" w:space="0" w:color="auto"/>
                    <w:right w:val="none" w:sz="0" w:space="0" w:color="auto"/>
                  </w:divBdr>
                </w:div>
                <w:div w:id="501629522">
                  <w:marLeft w:val="0"/>
                  <w:marRight w:val="0"/>
                  <w:marTop w:val="0"/>
                  <w:marBottom w:val="0"/>
                  <w:divBdr>
                    <w:top w:val="none" w:sz="0" w:space="0" w:color="auto"/>
                    <w:left w:val="none" w:sz="0" w:space="0" w:color="auto"/>
                    <w:bottom w:val="none" w:sz="0" w:space="0" w:color="auto"/>
                    <w:right w:val="none" w:sz="0" w:space="0" w:color="auto"/>
                  </w:divBdr>
                </w:div>
              </w:divsChild>
            </w:div>
            <w:div w:id="122387728">
              <w:marLeft w:val="0"/>
              <w:marRight w:val="0"/>
              <w:marTop w:val="0"/>
              <w:marBottom w:val="0"/>
              <w:divBdr>
                <w:top w:val="none" w:sz="0" w:space="0" w:color="auto"/>
                <w:left w:val="none" w:sz="0" w:space="0" w:color="auto"/>
                <w:bottom w:val="none" w:sz="0" w:space="0" w:color="auto"/>
                <w:right w:val="none" w:sz="0" w:space="0" w:color="auto"/>
              </w:divBdr>
              <w:divsChild>
                <w:div w:id="126749564">
                  <w:marLeft w:val="0"/>
                  <w:marRight w:val="0"/>
                  <w:marTop w:val="0"/>
                  <w:marBottom w:val="0"/>
                  <w:divBdr>
                    <w:top w:val="none" w:sz="0" w:space="0" w:color="auto"/>
                    <w:left w:val="none" w:sz="0" w:space="0" w:color="auto"/>
                    <w:bottom w:val="none" w:sz="0" w:space="0" w:color="auto"/>
                    <w:right w:val="none" w:sz="0" w:space="0" w:color="auto"/>
                  </w:divBdr>
                </w:div>
                <w:div w:id="405887086">
                  <w:marLeft w:val="0"/>
                  <w:marRight w:val="0"/>
                  <w:marTop w:val="0"/>
                  <w:marBottom w:val="0"/>
                  <w:divBdr>
                    <w:top w:val="none" w:sz="0" w:space="0" w:color="auto"/>
                    <w:left w:val="none" w:sz="0" w:space="0" w:color="auto"/>
                    <w:bottom w:val="none" w:sz="0" w:space="0" w:color="auto"/>
                    <w:right w:val="none" w:sz="0" w:space="0" w:color="auto"/>
                  </w:divBdr>
                </w:div>
              </w:divsChild>
            </w:div>
            <w:div w:id="527109761">
              <w:marLeft w:val="0"/>
              <w:marRight w:val="0"/>
              <w:marTop w:val="0"/>
              <w:marBottom w:val="0"/>
              <w:divBdr>
                <w:top w:val="none" w:sz="0" w:space="0" w:color="auto"/>
                <w:left w:val="none" w:sz="0" w:space="0" w:color="auto"/>
                <w:bottom w:val="none" w:sz="0" w:space="0" w:color="auto"/>
                <w:right w:val="none" w:sz="0" w:space="0" w:color="auto"/>
              </w:divBdr>
              <w:divsChild>
                <w:div w:id="1625651526">
                  <w:marLeft w:val="0"/>
                  <w:marRight w:val="0"/>
                  <w:marTop w:val="0"/>
                  <w:marBottom w:val="0"/>
                  <w:divBdr>
                    <w:top w:val="none" w:sz="0" w:space="0" w:color="auto"/>
                    <w:left w:val="none" w:sz="0" w:space="0" w:color="auto"/>
                    <w:bottom w:val="none" w:sz="0" w:space="0" w:color="auto"/>
                    <w:right w:val="none" w:sz="0" w:space="0" w:color="auto"/>
                  </w:divBdr>
                </w:div>
              </w:divsChild>
            </w:div>
            <w:div w:id="641888888">
              <w:marLeft w:val="0"/>
              <w:marRight w:val="0"/>
              <w:marTop w:val="0"/>
              <w:marBottom w:val="0"/>
              <w:divBdr>
                <w:top w:val="none" w:sz="0" w:space="0" w:color="auto"/>
                <w:left w:val="none" w:sz="0" w:space="0" w:color="auto"/>
                <w:bottom w:val="none" w:sz="0" w:space="0" w:color="auto"/>
                <w:right w:val="none" w:sz="0" w:space="0" w:color="auto"/>
              </w:divBdr>
              <w:divsChild>
                <w:div w:id="17235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3978">
          <w:marLeft w:val="0"/>
          <w:marRight w:val="0"/>
          <w:marTop w:val="0"/>
          <w:marBottom w:val="0"/>
          <w:divBdr>
            <w:top w:val="none" w:sz="0" w:space="0" w:color="auto"/>
            <w:left w:val="none" w:sz="0" w:space="0" w:color="auto"/>
            <w:bottom w:val="none" w:sz="0" w:space="0" w:color="auto"/>
            <w:right w:val="none" w:sz="0" w:space="0" w:color="auto"/>
          </w:divBdr>
          <w:divsChild>
            <w:div w:id="2052151357">
              <w:marLeft w:val="0"/>
              <w:marRight w:val="0"/>
              <w:marTop w:val="0"/>
              <w:marBottom w:val="0"/>
              <w:divBdr>
                <w:top w:val="none" w:sz="0" w:space="0" w:color="auto"/>
                <w:left w:val="none" w:sz="0" w:space="0" w:color="auto"/>
                <w:bottom w:val="none" w:sz="0" w:space="0" w:color="auto"/>
                <w:right w:val="none" w:sz="0" w:space="0" w:color="auto"/>
              </w:divBdr>
              <w:divsChild>
                <w:div w:id="339620684">
                  <w:marLeft w:val="0"/>
                  <w:marRight w:val="0"/>
                  <w:marTop w:val="0"/>
                  <w:marBottom w:val="0"/>
                  <w:divBdr>
                    <w:top w:val="none" w:sz="0" w:space="0" w:color="auto"/>
                    <w:left w:val="none" w:sz="0" w:space="0" w:color="auto"/>
                    <w:bottom w:val="none" w:sz="0" w:space="0" w:color="auto"/>
                    <w:right w:val="none" w:sz="0" w:space="0" w:color="auto"/>
                  </w:divBdr>
                </w:div>
              </w:divsChild>
            </w:div>
            <w:div w:id="1023675737">
              <w:marLeft w:val="0"/>
              <w:marRight w:val="0"/>
              <w:marTop w:val="0"/>
              <w:marBottom w:val="0"/>
              <w:divBdr>
                <w:top w:val="none" w:sz="0" w:space="0" w:color="auto"/>
                <w:left w:val="none" w:sz="0" w:space="0" w:color="auto"/>
                <w:bottom w:val="none" w:sz="0" w:space="0" w:color="auto"/>
                <w:right w:val="none" w:sz="0" w:space="0" w:color="auto"/>
              </w:divBdr>
              <w:divsChild>
                <w:div w:id="480117378">
                  <w:marLeft w:val="0"/>
                  <w:marRight w:val="0"/>
                  <w:marTop w:val="0"/>
                  <w:marBottom w:val="0"/>
                  <w:divBdr>
                    <w:top w:val="none" w:sz="0" w:space="0" w:color="auto"/>
                    <w:left w:val="none" w:sz="0" w:space="0" w:color="auto"/>
                    <w:bottom w:val="none" w:sz="0" w:space="0" w:color="auto"/>
                    <w:right w:val="none" w:sz="0" w:space="0" w:color="auto"/>
                  </w:divBdr>
                </w:div>
              </w:divsChild>
            </w:div>
            <w:div w:id="1709990368">
              <w:marLeft w:val="0"/>
              <w:marRight w:val="0"/>
              <w:marTop w:val="0"/>
              <w:marBottom w:val="0"/>
              <w:divBdr>
                <w:top w:val="none" w:sz="0" w:space="0" w:color="auto"/>
                <w:left w:val="none" w:sz="0" w:space="0" w:color="auto"/>
                <w:bottom w:val="none" w:sz="0" w:space="0" w:color="auto"/>
                <w:right w:val="none" w:sz="0" w:space="0" w:color="auto"/>
              </w:divBdr>
              <w:divsChild>
                <w:div w:id="771051158">
                  <w:marLeft w:val="0"/>
                  <w:marRight w:val="0"/>
                  <w:marTop w:val="0"/>
                  <w:marBottom w:val="0"/>
                  <w:divBdr>
                    <w:top w:val="none" w:sz="0" w:space="0" w:color="auto"/>
                    <w:left w:val="none" w:sz="0" w:space="0" w:color="auto"/>
                    <w:bottom w:val="none" w:sz="0" w:space="0" w:color="auto"/>
                    <w:right w:val="none" w:sz="0" w:space="0" w:color="auto"/>
                  </w:divBdr>
                </w:div>
              </w:divsChild>
            </w:div>
            <w:div w:id="797183628">
              <w:marLeft w:val="0"/>
              <w:marRight w:val="0"/>
              <w:marTop w:val="0"/>
              <w:marBottom w:val="0"/>
              <w:divBdr>
                <w:top w:val="none" w:sz="0" w:space="0" w:color="auto"/>
                <w:left w:val="none" w:sz="0" w:space="0" w:color="auto"/>
                <w:bottom w:val="none" w:sz="0" w:space="0" w:color="auto"/>
                <w:right w:val="none" w:sz="0" w:space="0" w:color="auto"/>
              </w:divBdr>
              <w:divsChild>
                <w:div w:id="53436200">
                  <w:marLeft w:val="0"/>
                  <w:marRight w:val="0"/>
                  <w:marTop w:val="0"/>
                  <w:marBottom w:val="0"/>
                  <w:divBdr>
                    <w:top w:val="none" w:sz="0" w:space="0" w:color="auto"/>
                    <w:left w:val="none" w:sz="0" w:space="0" w:color="auto"/>
                    <w:bottom w:val="none" w:sz="0" w:space="0" w:color="auto"/>
                    <w:right w:val="none" w:sz="0" w:space="0" w:color="auto"/>
                  </w:divBdr>
                </w:div>
              </w:divsChild>
            </w:div>
            <w:div w:id="1893497253">
              <w:marLeft w:val="0"/>
              <w:marRight w:val="0"/>
              <w:marTop w:val="0"/>
              <w:marBottom w:val="0"/>
              <w:divBdr>
                <w:top w:val="none" w:sz="0" w:space="0" w:color="auto"/>
                <w:left w:val="none" w:sz="0" w:space="0" w:color="auto"/>
                <w:bottom w:val="none" w:sz="0" w:space="0" w:color="auto"/>
                <w:right w:val="none" w:sz="0" w:space="0" w:color="auto"/>
              </w:divBdr>
              <w:divsChild>
                <w:div w:id="784427642">
                  <w:marLeft w:val="0"/>
                  <w:marRight w:val="0"/>
                  <w:marTop w:val="0"/>
                  <w:marBottom w:val="0"/>
                  <w:divBdr>
                    <w:top w:val="none" w:sz="0" w:space="0" w:color="auto"/>
                    <w:left w:val="none" w:sz="0" w:space="0" w:color="auto"/>
                    <w:bottom w:val="none" w:sz="0" w:space="0" w:color="auto"/>
                    <w:right w:val="none" w:sz="0" w:space="0" w:color="auto"/>
                  </w:divBdr>
                </w:div>
              </w:divsChild>
            </w:div>
            <w:div w:id="1915778364">
              <w:marLeft w:val="0"/>
              <w:marRight w:val="0"/>
              <w:marTop w:val="0"/>
              <w:marBottom w:val="0"/>
              <w:divBdr>
                <w:top w:val="none" w:sz="0" w:space="0" w:color="auto"/>
                <w:left w:val="none" w:sz="0" w:space="0" w:color="auto"/>
                <w:bottom w:val="none" w:sz="0" w:space="0" w:color="auto"/>
                <w:right w:val="none" w:sz="0" w:space="0" w:color="auto"/>
              </w:divBdr>
              <w:divsChild>
                <w:div w:id="1241911684">
                  <w:marLeft w:val="0"/>
                  <w:marRight w:val="0"/>
                  <w:marTop w:val="0"/>
                  <w:marBottom w:val="0"/>
                  <w:divBdr>
                    <w:top w:val="none" w:sz="0" w:space="0" w:color="auto"/>
                    <w:left w:val="none" w:sz="0" w:space="0" w:color="auto"/>
                    <w:bottom w:val="none" w:sz="0" w:space="0" w:color="auto"/>
                    <w:right w:val="none" w:sz="0" w:space="0" w:color="auto"/>
                  </w:divBdr>
                </w:div>
              </w:divsChild>
            </w:div>
            <w:div w:id="820388447">
              <w:marLeft w:val="0"/>
              <w:marRight w:val="0"/>
              <w:marTop w:val="0"/>
              <w:marBottom w:val="0"/>
              <w:divBdr>
                <w:top w:val="none" w:sz="0" w:space="0" w:color="auto"/>
                <w:left w:val="none" w:sz="0" w:space="0" w:color="auto"/>
                <w:bottom w:val="none" w:sz="0" w:space="0" w:color="auto"/>
                <w:right w:val="none" w:sz="0" w:space="0" w:color="auto"/>
              </w:divBdr>
              <w:divsChild>
                <w:div w:id="393164648">
                  <w:marLeft w:val="0"/>
                  <w:marRight w:val="0"/>
                  <w:marTop w:val="0"/>
                  <w:marBottom w:val="0"/>
                  <w:divBdr>
                    <w:top w:val="none" w:sz="0" w:space="0" w:color="auto"/>
                    <w:left w:val="none" w:sz="0" w:space="0" w:color="auto"/>
                    <w:bottom w:val="none" w:sz="0" w:space="0" w:color="auto"/>
                    <w:right w:val="none" w:sz="0" w:space="0" w:color="auto"/>
                  </w:divBdr>
                </w:div>
              </w:divsChild>
            </w:div>
            <w:div w:id="717511259">
              <w:marLeft w:val="0"/>
              <w:marRight w:val="0"/>
              <w:marTop w:val="0"/>
              <w:marBottom w:val="0"/>
              <w:divBdr>
                <w:top w:val="none" w:sz="0" w:space="0" w:color="auto"/>
                <w:left w:val="none" w:sz="0" w:space="0" w:color="auto"/>
                <w:bottom w:val="none" w:sz="0" w:space="0" w:color="auto"/>
                <w:right w:val="none" w:sz="0" w:space="0" w:color="auto"/>
              </w:divBdr>
              <w:divsChild>
                <w:div w:id="794711097">
                  <w:marLeft w:val="0"/>
                  <w:marRight w:val="0"/>
                  <w:marTop w:val="0"/>
                  <w:marBottom w:val="0"/>
                  <w:divBdr>
                    <w:top w:val="none" w:sz="0" w:space="0" w:color="auto"/>
                    <w:left w:val="none" w:sz="0" w:space="0" w:color="auto"/>
                    <w:bottom w:val="none" w:sz="0" w:space="0" w:color="auto"/>
                    <w:right w:val="none" w:sz="0" w:space="0" w:color="auto"/>
                  </w:divBdr>
                </w:div>
              </w:divsChild>
            </w:div>
            <w:div w:id="1048723201">
              <w:marLeft w:val="0"/>
              <w:marRight w:val="0"/>
              <w:marTop w:val="0"/>
              <w:marBottom w:val="0"/>
              <w:divBdr>
                <w:top w:val="none" w:sz="0" w:space="0" w:color="auto"/>
                <w:left w:val="none" w:sz="0" w:space="0" w:color="auto"/>
                <w:bottom w:val="none" w:sz="0" w:space="0" w:color="auto"/>
                <w:right w:val="none" w:sz="0" w:space="0" w:color="auto"/>
              </w:divBdr>
              <w:divsChild>
                <w:div w:id="1769350225">
                  <w:marLeft w:val="0"/>
                  <w:marRight w:val="0"/>
                  <w:marTop w:val="0"/>
                  <w:marBottom w:val="0"/>
                  <w:divBdr>
                    <w:top w:val="none" w:sz="0" w:space="0" w:color="auto"/>
                    <w:left w:val="none" w:sz="0" w:space="0" w:color="auto"/>
                    <w:bottom w:val="none" w:sz="0" w:space="0" w:color="auto"/>
                    <w:right w:val="none" w:sz="0" w:space="0" w:color="auto"/>
                  </w:divBdr>
                </w:div>
              </w:divsChild>
            </w:div>
            <w:div w:id="619265262">
              <w:marLeft w:val="0"/>
              <w:marRight w:val="0"/>
              <w:marTop w:val="0"/>
              <w:marBottom w:val="0"/>
              <w:divBdr>
                <w:top w:val="none" w:sz="0" w:space="0" w:color="auto"/>
                <w:left w:val="none" w:sz="0" w:space="0" w:color="auto"/>
                <w:bottom w:val="none" w:sz="0" w:space="0" w:color="auto"/>
                <w:right w:val="none" w:sz="0" w:space="0" w:color="auto"/>
              </w:divBdr>
              <w:divsChild>
                <w:div w:id="426580267">
                  <w:marLeft w:val="0"/>
                  <w:marRight w:val="0"/>
                  <w:marTop w:val="0"/>
                  <w:marBottom w:val="0"/>
                  <w:divBdr>
                    <w:top w:val="none" w:sz="0" w:space="0" w:color="auto"/>
                    <w:left w:val="none" w:sz="0" w:space="0" w:color="auto"/>
                    <w:bottom w:val="none" w:sz="0" w:space="0" w:color="auto"/>
                    <w:right w:val="none" w:sz="0" w:space="0" w:color="auto"/>
                  </w:divBdr>
                </w:div>
              </w:divsChild>
            </w:div>
            <w:div w:id="1087265343">
              <w:marLeft w:val="0"/>
              <w:marRight w:val="0"/>
              <w:marTop w:val="0"/>
              <w:marBottom w:val="0"/>
              <w:divBdr>
                <w:top w:val="none" w:sz="0" w:space="0" w:color="auto"/>
                <w:left w:val="none" w:sz="0" w:space="0" w:color="auto"/>
                <w:bottom w:val="none" w:sz="0" w:space="0" w:color="auto"/>
                <w:right w:val="none" w:sz="0" w:space="0" w:color="auto"/>
              </w:divBdr>
              <w:divsChild>
                <w:div w:id="12107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661">
          <w:marLeft w:val="0"/>
          <w:marRight w:val="0"/>
          <w:marTop w:val="0"/>
          <w:marBottom w:val="0"/>
          <w:divBdr>
            <w:top w:val="none" w:sz="0" w:space="0" w:color="auto"/>
            <w:left w:val="none" w:sz="0" w:space="0" w:color="auto"/>
            <w:bottom w:val="none" w:sz="0" w:space="0" w:color="auto"/>
            <w:right w:val="none" w:sz="0" w:space="0" w:color="auto"/>
          </w:divBdr>
          <w:divsChild>
            <w:div w:id="613290679">
              <w:marLeft w:val="0"/>
              <w:marRight w:val="0"/>
              <w:marTop w:val="0"/>
              <w:marBottom w:val="0"/>
              <w:divBdr>
                <w:top w:val="none" w:sz="0" w:space="0" w:color="auto"/>
                <w:left w:val="none" w:sz="0" w:space="0" w:color="auto"/>
                <w:bottom w:val="none" w:sz="0" w:space="0" w:color="auto"/>
                <w:right w:val="none" w:sz="0" w:space="0" w:color="auto"/>
              </w:divBdr>
              <w:divsChild>
                <w:div w:id="425812026">
                  <w:marLeft w:val="0"/>
                  <w:marRight w:val="0"/>
                  <w:marTop w:val="0"/>
                  <w:marBottom w:val="0"/>
                  <w:divBdr>
                    <w:top w:val="none" w:sz="0" w:space="0" w:color="auto"/>
                    <w:left w:val="none" w:sz="0" w:space="0" w:color="auto"/>
                    <w:bottom w:val="none" w:sz="0" w:space="0" w:color="auto"/>
                    <w:right w:val="none" w:sz="0" w:space="0" w:color="auto"/>
                  </w:divBdr>
                </w:div>
              </w:divsChild>
            </w:div>
            <w:div w:id="1751736732">
              <w:marLeft w:val="0"/>
              <w:marRight w:val="0"/>
              <w:marTop w:val="0"/>
              <w:marBottom w:val="0"/>
              <w:divBdr>
                <w:top w:val="none" w:sz="0" w:space="0" w:color="auto"/>
                <w:left w:val="none" w:sz="0" w:space="0" w:color="auto"/>
                <w:bottom w:val="none" w:sz="0" w:space="0" w:color="auto"/>
                <w:right w:val="none" w:sz="0" w:space="0" w:color="auto"/>
              </w:divBdr>
              <w:divsChild>
                <w:div w:id="1187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7349">
      <w:bodyDiv w:val="1"/>
      <w:marLeft w:val="0"/>
      <w:marRight w:val="0"/>
      <w:marTop w:val="0"/>
      <w:marBottom w:val="0"/>
      <w:divBdr>
        <w:top w:val="none" w:sz="0" w:space="0" w:color="auto"/>
        <w:left w:val="none" w:sz="0" w:space="0" w:color="auto"/>
        <w:bottom w:val="none" w:sz="0" w:space="0" w:color="auto"/>
        <w:right w:val="none" w:sz="0" w:space="0" w:color="auto"/>
      </w:divBdr>
    </w:div>
    <w:div w:id="1068959353">
      <w:bodyDiv w:val="1"/>
      <w:marLeft w:val="0"/>
      <w:marRight w:val="0"/>
      <w:marTop w:val="0"/>
      <w:marBottom w:val="0"/>
      <w:divBdr>
        <w:top w:val="none" w:sz="0" w:space="0" w:color="auto"/>
        <w:left w:val="none" w:sz="0" w:space="0" w:color="auto"/>
        <w:bottom w:val="none" w:sz="0" w:space="0" w:color="auto"/>
        <w:right w:val="none" w:sz="0" w:space="0" w:color="auto"/>
      </w:divBdr>
    </w:div>
    <w:div w:id="1191646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wien.orf.at/news/stories/2544159/" TargetMode="External"/><Relationship Id="rId11" Type="http://schemas.openxmlformats.org/officeDocument/2006/relationships/hyperlink" Target="http://wien.orf.at/news/stories/2579071/" TargetMode="External"/><Relationship Id="rId12" Type="http://schemas.openxmlformats.org/officeDocument/2006/relationships/hyperlink" Target="http://wien.orf.at/news/stories/2583038/" TargetMode="External"/><Relationship Id="rId13" Type="http://schemas.openxmlformats.org/officeDocument/2006/relationships/image" Target="media/image3.jpeg"/><Relationship Id="rId14" Type="http://schemas.openxmlformats.org/officeDocument/2006/relationships/hyperlink" Target="http://wien.orf.at/news/stories/2601741/" TargetMode="External"/><Relationship Id="rId15" Type="http://schemas.openxmlformats.org/officeDocument/2006/relationships/image" Target="media/image4.jpeg"/><Relationship Id="rId16" Type="http://schemas.openxmlformats.org/officeDocument/2006/relationships/hyperlink" Target="http://wien.orf.at/news/stories/2579232/" TargetMode="External"/><Relationship Id="rId17" Type="http://schemas.openxmlformats.org/officeDocument/2006/relationships/hyperlink" Target="http://wien.orf.at/news/stories/2589252/"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7880</Characters>
  <Application>Microsoft Macintosh Word</Application>
  <DocSecurity>0</DocSecurity>
  <Lines>65</Lines>
  <Paragraphs>18</Paragraphs>
  <ScaleCrop>false</ScaleCrop>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3</cp:revision>
  <cp:lastPrinted>2017-04-24T13:30:00Z</cp:lastPrinted>
  <dcterms:created xsi:type="dcterms:W3CDTF">2017-04-24T19:15:00Z</dcterms:created>
  <dcterms:modified xsi:type="dcterms:W3CDTF">2017-04-24T19:16:00Z</dcterms:modified>
</cp:coreProperties>
</file>