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34F2" w14:textId="39E2C9D7" w:rsidR="00677A5A" w:rsidRDefault="00522759" w:rsidP="00F43E0A">
      <w:pPr>
        <w:rPr>
          <w:rFonts w:asciiTheme="majorHAnsi" w:hAnsiTheme="majorHAnsi"/>
          <w:b/>
        </w:rPr>
      </w:pPr>
      <w:r w:rsidRPr="00522759">
        <w:rPr>
          <w:rFonts w:asciiTheme="majorHAnsi" w:hAnsiTheme="majorHAnsi"/>
          <w:b/>
        </w:rPr>
        <w:drawing>
          <wp:inline distT="0" distB="0" distL="0" distR="0" wp14:anchorId="4C6603D6" wp14:editId="00AE1491">
            <wp:extent cx="1587500" cy="444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1C93" w14:textId="77777777" w:rsidR="00677A5A" w:rsidRDefault="00677A5A" w:rsidP="00F43E0A">
      <w:pPr>
        <w:rPr>
          <w:rFonts w:asciiTheme="majorHAnsi" w:hAnsiTheme="majorHAnsi"/>
          <w:b/>
        </w:rPr>
      </w:pPr>
    </w:p>
    <w:p w14:paraId="251F2C90" w14:textId="3366C6A2" w:rsidR="00F43E0A" w:rsidRPr="007916C9" w:rsidRDefault="00677A5A" w:rsidP="00F43E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Fallbeispiel:</w:t>
      </w:r>
      <w:r w:rsidR="00F43E0A" w:rsidRPr="007916C9">
        <w:rPr>
          <w:rFonts w:asciiTheme="majorHAnsi" w:hAnsiTheme="majorHAnsi"/>
          <w:b/>
        </w:rPr>
        <w:t xml:space="preserve"> </w:t>
      </w:r>
      <w:r w:rsidR="0095563A">
        <w:rPr>
          <w:rFonts w:asciiTheme="majorHAnsi" w:hAnsiTheme="majorHAnsi"/>
          <w:b/>
        </w:rPr>
        <w:t>VÖST Alpine AG / Bilanzanalyse, Veranlagung</w:t>
      </w:r>
    </w:p>
    <w:p w14:paraId="37FD5F36" w14:textId="77777777" w:rsidR="00F43E0A" w:rsidRPr="007916C9" w:rsidRDefault="003350B6" w:rsidP="00F43E0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ED08" wp14:editId="0ECC2A2B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057900" cy="1371600"/>
                <wp:effectExtent l="0" t="0" r="1270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7156" w14:textId="77777777" w:rsidR="00D140AD" w:rsidRPr="00D257D4" w:rsidRDefault="00D140AD" w:rsidP="003350B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257D4">
                              <w:rPr>
                                <w:rFonts w:asciiTheme="majorHAnsi" w:hAnsiTheme="majorHAnsi"/>
                                <w:b/>
                              </w:rPr>
                              <w:t>Kompetenzen:</w:t>
                            </w:r>
                          </w:p>
                          <w:p w14:paraId="5FC6A7EA" w14:textId="77777777" w:rsidR="00D140AD" w:rsidRPr="007916C9" w:rsidRDefault="00D140AD" w:rsidP="003350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591A39" w14:textId="1D6C1FBA" w:rsidR="00D140AD" w:rsidRDefault="00D140AD" w:rsidP="003350B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Bilanz</w:t>
                            </w:r>
                            <w:r w:rsidRPr="007916C9">
                              <w:rPr>
                                <w:rFonts w:asciiTheme="majorHAnsi" w:hAnsiTheme="majorHAnsi"/>
                              </w:rPr>
                              <w:t xml:space="preserve"> anal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ysieren können </w:t>
                            </w:r>
                            <w:r w:rsidR="0095563A">
                              <w:rPr>
                                <w:rFonts w:asciiTheme="majorHAnsi" w:hAnsiTheme="majorHAnsi"/>
                              </w:rPr>
                              <w:t>und Ergebnisse interpretieren können</w:t>
                            </w:r>
                          </w:p>
                          <w:p w14:paraId="5809F344" w14:textId="7926F5B1" w:rsidR="0095563A" w:rsidRDefault="0095563A" w:rsidP="003350B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Zusammenhang zwischen fundamentaler Analyse und Wertpapierkursen herstellen können</w:t>
                            </w:r>
                          </w:p>
                          <w:p w14:paraId="438E1C95" w14:textId="635BB1D0" w:rsidR="00D140AD" w:rsidRPr="003350B6" w:rsidRDefault="00D140AD" w:rsidP="003350B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Empfehlungen hinsichtlich der Veranlagung in </w:t>
                            </w:r>
                            <w:r w:rsidR="0095563A">
                              <w:rPr>
                                <w:rFonts w:asciiTheme="majorHAnsi" w:hAnsiTheme="majorHAnsi"/>
                              </w:rPr>
                              <w:t>Wertpapiere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geben können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ED0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9pt;margin-top:19.9pt;width:47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" fillcolor="#fde9d9 [665]" stroked="f">
                <v:textbox>
                  <w:txbxContent>
                    <w:p w14:paraId="0AD67156" w14:textId="77777777" w:rsidR="00D140AD" w:rsidRPr="00D257D4" w:rsidRDefault="00D140AD" w:rsidP="003350B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D257D4">
                        <w:rPr>
                          <w:rFonts w:asciiTheme="majorHAnsi" w:hAnsiTheme="majorHAnsi"/>
                          <w:b/>
                        </w:rPr>
                        <w:t>Kompetenzen:</w:t>
                      </w:r>
                    </w:p>
                    <w:p w14:paraId="5FC6A7EA" w14:textId="77777777" w:rsidR="00D140AD" w:rsidRPr="007916C9" w:rsidRDefault="00D140AD" w:rsidP="003350B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D591A39" w14:textId="1D6C1FBA" w:rsidR="00D140AD" w:rsidRDefault="00D140AD" w:rsidP="003350B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Bilanz</w:t>
                      </w:r>
                      <w:r w:rsidRPr="007916C9">
                        <w:rPr>
                          <w:rFonts w:asciiTheme="majorHAnsi" w:hAnsiTheme="majorHAnsi"/>
                        </w:rPr>
                        <w:t xml:space="preserve"> anal</w:t>
                      </w:r>
                      <w:r>
                        <w:rPr>
                          <w:rFonts w:asciiTheme="majorHAnsi" w:hAnsiTheme="majorHAnsi"/>
                        </w:rPr>
                        <w:t xml:space="preserve">ysieren können </w:t>
                      </w:r>
                      <w:r w:rsidR="0095563A">
                        <w:rPr>
                          <w:rFonts w:asciiTheme="majorHAnsi" w:hAnsiTheme="majorHAnsi"/>
                        </w:rPr>
                        <w:t>und Ergebnisse interpretieren können</w:t>
                      </w:r>
                    </w:p>
                    <w:p w14:paraId="5809F344" w14:textId="7926F5B1" w:rsidR="0095563A" w:rsidRDefault="0095563A" w:rsidP="003350B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Zusammenhang zwischen fundamentaler Analyse und Wertpapierkursen herstellen können</w:t>
                      </w:r>
                    </w:p>
                    <w:p w14:paraId="438E1C95" w14:textId="635BB1D0" w:rsidR="00D140AD" w:rsidRPr="003350B6" w:rsidRDefault="00D140AD" w:rsidP="003350B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Empfehlungen hinsichtlich der Veranlagung in </w:t>
                      </w:r>
                      <w:r w:rsidR="0095563A">
                        <w:rPr>
                          <w:rFonts w:asciiTheme="majorHAnsi" w:hAnsiTheme="majorHAnsi"/>
                        </w:rPr>
                        <w:t>Wertpapiere</w:t>
                      </w:r>
                      <w:r>
                        <w:rPr>
                          <w:rFonts w:asciiTheme="majorHAnsi" w:hAnsiTheme="majorHAnsi"/>
                        </w:rPr>
                        <w:t xml:space="preserve"> geben können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A7EBA" w14:textId="77777777" w:rsidR="003350B6" w:rsidRDefault="003350B6" w:rsidP="00F43E0A">
      <w:pPr>
        <w:rPr>
          <w:rFonts w:asciiTheme="majorHAnsi" w:hAnsiTheme="majorHAnsi"/>
        </w:rPr>
      </w:pPr>
    </w:p>
    <w:p w14:paraId="751C4C75" w14:textId="77777777" w:rsidR="00431151" w:rsidRDefault="006B349D" w:rsidP="00F43E0A">
      <w:pPr>
        <w:rPr>
          <w:rFonts w:asciiTheme="majorHAnsi" w:hAnsiTheme="majorHAnsi"/>
        </w:rPr>
      </w:pPr>
      <w:r>
        <w:rPr>
          <w:rFonts w:asciiTheme="majorHAnsi" w:hAnsiTheme="majorHAnsi"/>
        </w:rPr>
        <w:t>Literatur</w:t>
      </w:r>
      <w:r w:rsidR="00431151">
        <w:rPr>
          <w:rFonts w:asciiTheme="majorHAnsi" w:hAnsiTheme="majorHAnsi"/>
        </w:rPr>
        <w:t>:</w:t>
      </w:r>
      <w:r w:rsidR="00EC39A1">
        <w:rPr>
          <w:rFonts w:asciiTheme="majorHAnsi" w:hAnsiTheme="majorHAnsi"/>
        </w:rPr>
        <w:t xml:space="preserve"> </w:t>
      </w:r>
    </w:p>
    <w:p w14:paraId="59AE08C2" w14:textId="133A3683" w:rsidR="00431151" w:rsidRDefault="006B349D" w:rsidP="00B055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BVW: </w:t>
      </w:r>
      <w:r w:rsidR="00EC39A1">
        <w:rPr>
          <w:rFonts w:asciiTheme="majorHAnsi" w:hAnsiTheme="majorHAnsi"/>
        </w:rPr>
        <w:t xml:space="preserve">Band </w:t>
      </w:r>
      <w:r w:rsidR="0095563A">
        <w:rPr>
          <w:rFonts w:asciiTheme="majorHAnsi" w:hAnsiTheme="majorHAnsi"/>
        </w:rPr>
        <w:t xml:space="preserve">V Controlling, Kennzahlen; Band IV Börse, </w:t>
      </w:r>
      <w:r w:rsidR="00B055E3">
        <w:rPr>
          <w:rFonts w:asciiTheme="majorHAnsi" w:hAnsiTheme="majorHAnsi"/>
        </w:rPr>
        <w:t>Wertpapiere</w:t>
      </w:r>
    </w:p>
    <w:p w14:paraId="0492D5D1" w14:textId="77777777" w:rsidR="003350B6" w:rsidRDefault="006B349D" w:rsidP="00F43E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RWCO: Band </w:t>
      </w:r>
      <w:proofErr w:type="gramStart"/>
      <w:r>
        <w:rPr>
          <w:rFonts w:asciiTheme="majorHAnsi" w:hAnsiTheme="majorHAnsi"/>
        </w:rPr>
        <w:t>5  (</w:t>
      </w:r>
      <w:proofErr w:type="gramEnd"/>
      <w:r>
        <w:rPr>
          <w:rFonts w:asciiTheme="majorHAnsi" w:hAnsiTheme="majorHAnsi"/>
        </w:rPr>
        <w:t>Bilanzanalyse)</w:t>
      </w:r>
    </w:p>
    <w:p w14:paraId="10217684" w14:textId="77777777" w:rsidR="00677A5A" w:rsidRDefault="00677A5A" w:rsidP="00F43E0A">
      <w:pPr>
        <w:rPr>
          <w:rFonts w:asciiTheme="majorHAnsi" w:hAnsiTheme="majorHAnsi"/>
        </w:rPr>
      </w:pPr>
    </w:p>
    <w:p w14:paraId="6ECC5348" w14:textId="77777777" w:rsidR="00F43E0A" w:rsidRPr="003350B6" w:rsidRDefault="00F43E0A" w:rsidP="00F43E0A">
      <w:pPr>
        <w:rPr>
          <w:rFonts w:asciiTheme="majorHAnsi" w:hAnsiTheme="majorHAnsi"/>
          <w:b/>
        </w:rPr>
      </w:pPr>
      <w:r w:rsidRPr="003350B6">
        <w:rPr>
          <w:rFonts w:asciiTheme="majorHAnsi" w:hAnsiTheme="majorHAnsi"/>
          <w:b/>
        </w:rPr>
        <w:t>Ausgangslage:</w:t>
      </w:r>
    </w:p>
    <w:p w14:paraId="2FA3ED3D" w14:textId="77777777" w:rsidR="00F43E0A" w:rsidRPr="007916C9" w:rsidRDefault="00F43E0A" w:rsidP="00F43E0A">
      <w:pPr>
        <w:rPr>
          <w:rFonts w:asciiTheme="majorHAnsi" w:hAnsiTheme="majorHAnsi"/>
        </w:rPr>
      </w:pPr>
    </w:p>
    <w:p w14:paraId="3ED10F35" w14:textId="565ED2E2" w:rsidR="00F43E0A" w:rsidRPr="007916C9" w:rsidRDefault="00F43E0A" w:rsidP="00F43E0A">
      <w:pPr>
        <w:rPr>
          <w:rFonts w:asciiTheme="majorHAnsi" w:hAnsiTheme="majorHAnsi"/>
        </w:rPr>
      </w:pPr>
      <w:r w:rsidRPr="007916C9">
        <w:rPr>
          <w:rFonts w:asciiTheme="majorHAnsi" w:hAnsiTheme="majorHAnsi"/>
        </w:rPr>
        <w:t xml:space="preserve">Sie sind Mitarbeiter der </w:t>
      </w:r>
      <w:r w:rsidR="00522759">
        <w:rPr>
          <w:rFonts w:asciiTheme="majorHAnsi" w:hAnsiTheme="majorHAnsi"/>
        </w:rPr>
        <w:t>Großkundenabteilung</w:t>
      </w:r>
      <w:r w:rsidR="003350B6">
        <w:rPr>
          <w:rFonts w:asciiTheme="majorHAnsi" w:hAnsiTheme="majorHAnsi"/>
        </w:rPr>
        <w:t xml:space="preserve"> </w:t>
      </w:r>
      <w:r w:rsidR="0095563A">
        <w:rPr>
          <w:rFonts w:asciiTheme="majorHAnsi" w:hAnsiTheme="majorHAnsi"/>
        </w:rPr>
        <w:t xml:space="preserve">der </w:t>
      </w:r>
      <w:r w:rsidR="00522759">
        <w:rPr>
          <w:rFonts w:asciiTheme="majorHAnsi" w:hAnsiTheme="majorHAnsi"/>
        </w:rPr>
        <w:t xml:space="preserve">Deutschen </w:t>
      </w:r>
      <w:proofErr w:type="gramStart"/>
      <w:r w:rsidR="00522759">
        <w:rPr>
          <w:rFonts w:asciiTheme="majorHAnsi" w:hAnsiTheme="majorHAnsi"/>
        </w:rPr>
        <w:t>Bank  (</w:t>
      </w:r>
      <w:proofErr w:type="gramEnd"/>
      <w:r w:rsidR="00522759">
        <w:rPr>
          <w:rFonts w:asciiTheme="majorHAnsi" w:hAnsiTheme="majorHAnsi"/>
        </w:rPr>
        <w:t>Unternehmens- und Kapitalmarktanalyse)</w:t>
      </w:r>
    </w:p>
    <w:p w14:paraId="75413A1E" w14:textId="77777777" w:rsidR="00F43E0A" w:rsidRPr="007916C9" w:rsidRDefault="00F43E0A" w:rsidP="00F43E0A">
      <w:pPr>
        <w:rPr>
          <w:rFonts w:asciiTheme="majorHAnsi" w:hAnsiTheme="majorHAnsi"/>
        </w:rPr>
      </w:pPr>
    </w:p>
    <w:p w14:paraId="625F973E" w14:textId="77777777" w:rsidR="00F43E0A" w:rsidRPr="007916C9" w:rsidRDefault="00F43E0A" w:rsidP="00F43E0A">
      <w:pPr>
        <w:rPr>
          <w:rFonts w:asciiTheme="majorHAnsi" w:hAnsiTheme="majorHAnsi"/>
        </w:rPr>
      </w:pPr>
    </w:p>
    <w:p w14:paraId="083A1997" w14:textId="77777777" w:rsidR="00F43E0A" w:rsidRPr="003350B6" w:rsidRDefault="00F43E0A" w:rsidP="00F43E0A">
      <w:pPr>
        <w:rPr>
          <w:rFonts w:asciiTheme="majorHAnsi" w:hAnsiTheme="majorHAnsi"/>
          <w:b/>
        </w:rPr>
      </w:pPr>
      <w:r w:rsidRPr="003350B6">
        <w:rPr>
          <w:rFonts w:asciiTheme="majorHAnsi" w:hAnsiTheme="majorHAnsi"/>
          <w:b/>
        </w:rPr>
        <w:t>Unternehmensbeschreibung:</w:t>
      </w:r>
    </w:p>
    <w:p w14:paraId="37F47732" w14:textId="77777777" w:rsidR="00F43E0A" w:rsidRPr="007916C9" w:rsidRDefault="00F43E0A" w:rsidP="00F43E0A">
      <w:pPr>
        <w:rPr>
          <w:rFonts w:asciiTheme="majorHAnsi" w:hAnsiTheme="majorHAnsi"/>
        </w:rPr>
      </w:pPr>
    </w:p>
    <w:p w14:paraId="4358BA53" w14:textId="77777777" w:rsidR="008D3B7A" w:rsidRDefault="008D3B7A" w:rsidP="00F43E0A">
      <w:pPr>
        <w:rPr>
          <w:rFonts w:asciiTheme="majorHAnsi" w:hAnsiTheme="majorHAnsi"/>
        </w:rPr>
      </w:pPr>
    </w:p>
    <w:p w14:paraId="78B45B22" w14:textId="489C7F54" w:rsidR="00522759" w:rsidRPr="00522759" w:rsidRDefault="00522759" w:rsidP="00522759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522759">
        <w:rPr>
          <w:rFonts w:asciiTheme="majorHAnsi" w:hAnsiTheme="majorHAnsi" w:cstheme="majorHAnsi"/>
          <w:lang w:val="de-DE"/>
        </w:rPr>
        <w:t>Die global t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tige Unternehmensgruppe </w:t>
      </w:r>
      <w:proofErr w:type="spellStart"/>
      <w:r w:rsidRPr="00522759">
        <w:rPr>
          <w:rFonts w:asciiTheme="majorHAnsi" w:hAnsiTheme="majorHAnsi" w:cstheme="majorHAnsi"/>
          <w:lang w:val="de-DE"/>
        </w:rPr>
        <w:t>verfügt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522759">
        <w:rPr>
          <w:rFonts w:asciiTheme="majorHAnsi" w:hAnsiTheme="majorHAnsi" w:cstheme="majorHAnsi"/>
          <w:lang w:val="de-DE"/>
        </w:rPr>
        <w:t>über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rund 500 Konzerngesellschaften</w:t>
      </w:r>
    </w:p>
    <w:p w14:paraId="587E8A6D" w14:textId="1D247729" w:rsidR="00522759" w:rsidRDefault="00522759" w:rsidP="00522759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  <w:r w:rsidRPr="00522759">
        <w:rPr>
          <w:rFonts w:asciiTheme="majorHAnsi" w:hAnsiTheme="majorHAnsi" w:cstheme="majorHAnsi"/>
          <w:lang w:val="de-DE"/>
        </w:rPr>
        <w:t>und -</w:t>
      </w:r>
      <w:proofErr w:type="spellStart"/>
      <w:r w:rsidRPr="00522759">
        <w:rPr>
          <w:rFonts w:asciiTheme="majorHAnsi" w:hAnsiTheme="majorHAnsi" w:cstheme="majorHAnsi"/>
          <w:lang w:val="de-DE"/>
        </w:rPr>
        <w:t>standorte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in mehr als 50 L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ndern auf allen </w:t>
      </w:r>
      <w:proofErr w:type="spellStart"/>
      <w:r w:rsidRPr="00522759">
        <w:rPr>
          <w:rFonts w:asciiTheme="majorHAnsi" w:hAnsiTheme="majorHAnsi" w:cstheme="majorHAnsi"/>
          <w:lang w:val="de-DE"/>
        </w:rPr>
        <w:t>fünf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Kontinenten. Mit ihren qualitativ h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>chstwertigen Produkt- und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Systeml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>sungen z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 xml:space="preserve">hlt sie zu den </w:t>
      </w:r>
      <w:proofErr w:type="spellStart"/>
      <w:r w:rsidRPr="00522759">
        <w:rPr>
          <w:rFonts w:asciiTheme="majorHAnsi" w:hAnsiTheme="majorHAnsi" w:cstheme="majorHAnsi"/>
          <w:lang w:val="de-DE"/>
        </w:rPr>
        <w:t>führenden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Partnern der Automobil- und Hausger</w:t>
      </w:r>
      <w:r>
        <w:rPr>
          <w:rFonts w:asciiTheme="majorHAnsi" w:hAnsiTheme="majorHAnsi" w:cstheme="majorHAnsi"/>
          <w:lang w:val="de-DE"/>
        </w:rPr>
        <w:t>ä</w:t>
      </w:r>
      <w:r w:rsidRPr="00522759">
        <w:rPr>
          <w:rFonts w:asciiTheme="majorHAnsi" w:hAnsiTheme="majorHAnsi" w:cstheme="majorHAnsi"/>
          <w:lang w:val="de-DE"/>
        </w:rPr>
        <w:t>teindustrie sowie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der Luftfahrt- und </w:t>
      </w:r>
      <w:r>
        <w:rPr>
          <w:rFonts w:asciiTheme="majorHAnsi" w:hAnsiTheme="majorHAnsi" w:cstheme="majorHAnsi"/>
          <w:lang w:val="de-DE"/>
        </w:rPr>
        <w:t>Ö</w:t>
      </w:r>
      <w:r w:rsidRPr="00522759">
        <w:rPr>
          <w:rFonts w:asciiTheme="majorHAnsi" w:hAnsiTheme="majorHAnsi" w:cstheme="majorHAnsi"/>
          <w:lang w:val="de-DE"/>
        </w:rPr>
        <w:t xml:space="preserve">l- und Gasindustrie und ist </w:t>
      </w:r>
      <w:proofErr w:type="spellStart"/>
      <w:r w:rsidRPr="00522759">
        <w:rPr>
          <w:rFonts w:asciiTheme="majorHAnsi" w:hAnsiTheme="majorHAnsi" w:cstheme="majorHAnsi"/>
          <w:lang w:val="de-DE"/>
        </w:rPr>
        <w:t>darüber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hinaus </w:t>
      </w:r>
      <w:proofErr w:type="spellStart"/>
      <w:r w:rsidRPr="00522759">
        <w:rPr>
          <w:rFonts w:asciiTheme="majorHAnsi" w:hAnsiTheme="majorHAnsi" w:cstheme="majorHAnsi"/>
          <w:lang w:val="de-DE"/>
        </w:rPr>
        <w:t>Weltmarktführer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bei Bahninfrastruktursystemen,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Werkzeugstahl und Spezialprofilen. </w:t>
      </w:r>
    </w:p>
    <w:p w14:paraId="26139131" w14:textId="77777777" w:rsidR="00522759" w:rsidRDefault="00522759" w:rsidP="00522759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</w:pPr>
    </w:p>
    <w:p w14:paraId="3067E59E" w14:textId="3C76BCE1" w:rsidR="008915CE" w:rsidRPr="00522759" w:rsidRDefault="00522759" w:rsidP="00522759">
      <w:pPr>
        <w:autoSpaceDE w:val="0"/>
        <w:autoSpaceDN w:val="0"/>
        <w:adjustRightInd w:val="0"/>
        <w:rPr>
          <w:rFonts w:asciiTheme="majorHAnsi" w:hAnsiTheme="majorHAnsi" w:cstheme="majorHAnsi"/>
          <w:lang w:val="de-DE"/>
        </w:rPr>
        <w:sectPr w:rsidR="008915CE" w:rsidRPr="00522759" w:rsidSect="00C02312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522759">
        <w:rPr>
          <w:rFonts w:asciiTheme="majorHAnsi" w:hAnsiTheme="majorHAnsi" w:cstheme="majorHAnsi"/>
          <w:lang w:val="de-DE"/>
        </w:rPr>
        <w:t>Die voestalpine bekennt sich zu den globalen Klimazielen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 xml:space="preserve">und arbeitet intensiv an Technologien zur </w:t>
      </w:r>
      <w:proofErr w:type="spellStart"/>
      <w:r w:rsidRPr="00522759">
        <w:rPr>
          <w:rFonts w:asciiTheme="majorHAnsi" w:hAnsiTheme="majorHAnsi" w:cstheme="majorHAnsi"/>
          <w:lang w:val="de-DE"/>
        </w:rPr>
        <w:t>Dekarbonisierung</w:t>
      </w:r>
      <w:proofErr w:type="spellEnd"/>
      <w:r w:rsidRPr="00522759">
        <w:rPr>
          <w:rFonts w:asciiTheme="majorHAnsi" w:hAnsiTheme="majorHAnsi" w:cstheme="majorHAnsi"/>
          <w:lang w:val="de-DE"/>
        </w:rPr>
        <w:t xml:space="preserve"> und langfristigen Reduktion ihrer</w:t>
      </w:r>
      <w:r>
        <w:rPr>
          <w:rFonts w:asciiTheme="majorHAnsi" w:hAnsiTheme="majorHAnsi" w:cstheme="majorHAnsi"/>
          <w:lang w:val="de-DE"/>
        </w:rPr>
        <w:t xml:space="preserve"> </w:t>
      </w:r>
      <w:r w:rsidRPr="00522759">
        <w:rPr>
          <w:rFonts w:asciiTheme="majorHAnsi" w:hAnsiTheme="majorHAnsi" w:cstheme="majorHAnsi"/>
          <w:lang w:val="de-DE"/>
        </w:rPr>
        <w:t>CO2-Emissionen.</w:t>
      </w:r>
    </w:p>
    <w:p w14:paraId="5B1383ED" w14:textId="46627A5F" w:rsidR="007F616A" w:rsidRDefault="007F616A" w:rsidP="00F43E0A">
      <w:pPr>
        <w:rPr>
          <w:rFonts w:asciiTheme="majorHAnsi" w:hAnsiTheme="majorHAnsi"/>
          <w:noProof/>
          <w:sz w:val="20"/>
          <w:szCs w:val="20"/>
          <w:lang w:val="de-DE"/>
        </w:rPr>
      </w:pPr>
      <w:r w:rsidRPr="007F616A">
        <w:rPr>
          <w:rFonts w:asciiTheme="majorHAnsi" w:hAnsiTheme="majorHAnsi"/>
          <w:b/>
        </w:rPr>
        <w:lastRenderedPageBreak/>
        <w:t>Beilage</w:t>
      </w:r>
      <w:r w:rsidR="006B349D">
        <w:rPr>
          <w:rFonts w:asciiTheme="majorHAnsi" w:hAnsiTheme="majorHAnsi"/>
          <w:b/>
        </w:rPr>
        <w:t xml:space="preserve">: </w:t>
      </w:r>
      <w:r w:rsidR="0095563A">
        <w:rPr>
          <w:rFonts w:asciiTheme="majorHAnsi" w:hAnsiTheme="majorHAnsi"/>
          <w:b/>
        </w:rPr>
        <w:t>VÖST Alpine AG</w:t>
      </w:r>
    </w:p>
    <w:p w14:paraId="376B9D88" w14:textId="77777777" w:rsidR="0095563A" w:rsidRDefault="0095563A" w:rsidP="008915CE">
      <w:pPr>
        <w:rPr>
          <w:rFonts w:asciiTheme="majorHAnsi" w:hAnsiTheme="majorHAnsi"/>
          <w:sz w:val="20"/>
          <w:szCs w:val="20"/>
        </w:rPr>
      </w:pP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49"/>
        <w:gridCol w:w="1260"/>
        <w:gridCol w:w="1040"/>
        <w:gridCol w:w="196"/>
        <w:gridCol w:w="4700"/>
        <w:gridCol w:w="1030"/>
        <w:gridCol w:w="1000"/>
      </w:tblGrid>
      <w:tr w:rsidR="0095563A" w:rsidRPr="0095563A" w14:paraId="1E632925" w14:textId="77777777" w:rsidTr="0095563A">
        <w:trPr>
          <w:trHeight w:val="320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5A90" w14:textId="77777777" w:rsidR="0095563A" w:rsidRPr="0095563A" w:rsidRDefault="0095563A" w:rsidP="0095563A">
            <w:pPr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563A">
              <w:rPr>
                <w:rFonts w:ascii="Calibri" w:eastAsia="Times New Roman" w:hAnsi="Calibri" w:cs="Calibri"/>
                <w:color w:val="000000"/>
                <w:lang w:eastAsia="zh-CN"/>
              </w:rPr>
              <w:t>VOEST Alpine AG</w:t>
            </w:r>
          </w:p>
        </w:tc>
      </w:tr>
      <w:tr w:rsidR="0095563A" w:rsidRPr="0095563A" w14:paraId="279DEE97" w14:textId="77777777" w:rsidTr="0095563A">
        <w:trPr>
          <w:trHeight w:val="320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A52" w14:textId="77777777" w:rsidR="0095563A" w:rsidRPr="0095563A" w:rsidRDefault="0095563A" w:rsidP="0095563A">
            <w:pPr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563A">
              <w:rPr>
                <w:rFonts w:ascii="Calibri" w:eastAsia="Times New Roman" w:hAnsi="Calibri" w:cs="Calibri"/>
                <w:color w:val="000000"/>
                <w:lang w:eastAsia="zh-CN"/>
              </w:rPr>
              <w:t>Bilanz nach IFRS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960" w14:textId="77777777" w:rsidR="0095563A" w:rsidRPr="0095563A" w:rsidRDefault="0095563A" w:rsidP="0095563A">
            <w:pPr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CB2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3D2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9E1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5563A" w:rsidRPr="0095563A" w14:paraId="593CE8D7" w14:textId="77777777" w:rsidTr="0095563A">
        <w:trPr>
          <w:trHeight w:val="680"/>
        </w:trPr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E87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AKTIVA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07C8F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31.3.2021 (in Mio.)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772A9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Vorjahr </w:t>
            </w:r>
            <w:proofErr w:type="gramStart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in Mio.)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88D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PASSIVA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CC34E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31.3.2021 (in Mio.)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D2BFA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Vorjahr </w:t>
            </w:r>
            <w:proofErr w:type="gramStart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in Mio.)</w:t>
            </w:r>
          </w:p>
        </w:tc>
      </w:tr>
      <w:tr w:rsidR="0095563A" w:rsidRPr="0095563A" w14:paraId="6B925A00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F4D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5BA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8B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71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F6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E62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5CE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F5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2A50D569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35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FBE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Langfristiges Vermögen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509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9ACF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76F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D50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Eigenkapital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CFA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DB0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04600AD7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66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F44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Sachanlagen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35C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6.120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2CA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6.559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6F4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B357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Grundkapital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945B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324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528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324</w:t>
            </w:r>
          </w:p>
        </w:tc>
      </w:tr>
      <w:tr w:rsidR="0095563A" w:rsidRPr="0095563A" w14:paraId="4AB6E668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3C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CFB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Firmenwerte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884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1.469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3CE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1.495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ECD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BD12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Kapitalrücklagen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2906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661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CA2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660</w:t>
            </w:r>
          </w:p>
        </w:tc>
      </w:tr>
      <w:tr w:rsidR="0095563A" w:rsidRPr="0095563A" w14:paraId="55B16A5E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740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396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Andere immaterielle Vermögenswerte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E90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   307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C67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339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D42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4E2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Eigene Aktien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2FB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81E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-2</w:t>
            </w:r>
          </w:p>
        </w:tc>
      </w:tr>
      <w:tr w:rsidR="0095563A" w:rsidRPr="0095563A" w14:paraId="177334CD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900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D81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Anteile an </w:t>
            </w: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equitykonsolidierten</w:t>
            </w:r>
            <w:proofErr w:type="spellEnd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Unternehmen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32A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   136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853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128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34F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3EB7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Andere Rücklagen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A76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8B6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-166</w:t>
            </w:r>
          </w:p>
        </w:tc>
      </w:tr>
      <w:tr w:rsidR="0095563A" w:rsidRPr="0095563A" w14:paraId="3530654C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C2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79D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Andere Finanzanlagen und Anteile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25D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     66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B46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 66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7A3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06B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Gewinnrücklagen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A02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4.656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D3CE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4.661</w:t>
            </w:r>
          </w:p>
        </w:tc>
      </w:tr>
      <w:tr w:rsidR="0095563A" w:rsidRPr="0095563A" w14:paraId="476BFC02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7D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66A8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Aktive latente Steuern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0C13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   346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01E9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284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2E2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3BC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Ergebnis </w:t>
            </w:r>
            <w:proofErr w:type="gramStart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den Aktionäre</w:t>
            </w:r>
            <w:proofErr w:type="gramEnd"/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der Muttergesellschaft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8F2B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5.525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3A4F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5.478</w:t>
            </w:r>
          </w:p>
        </w:tc>
      </w:tr>
      <w:tr w:rsidR="0095563A" w:rsidRPr="0095563A" w14:paraId="6CE00EA4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AC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43C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Summe Langfristiges Vermögen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C91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     8.444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F6B5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 8.870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EFB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992F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Ergebnis nicht beherrschende Anteile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385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524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137</w:t>
            </w:r>
          </w:p>
        </w:tc>
      </w:tr>
      <w:tr w:rsidR="0095563A" w:rsidRPr="0095563A" w14:paraId="67AB4750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C0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02D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0C0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73FC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05E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F00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Summe Eigenkapital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A54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5.650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328A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5.615</w:t>
            </w:r>
          </w:p>
        </w:tc>
      </w:tr>
      <w:tr w:rsidR="0095563A" w:rsidRPr="0095563A" w14:paraId="0D45627F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E3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576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Kurzfristiges Vermögen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0C5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3E7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45A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C26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Pensionsn</w:t>
            </w:r>
            <w:proofErr w:type="spellEnd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und Arbeitnehmerverpflichtungen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F16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1.257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3CF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1.278 </w:t>
            </w:r>
          </w:p>
        </w:tc>
      </w:tr>
      <w:tr w:rsidR="0095563A" w:rsidRPr="0095563A" w14:paraId="1919165B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88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54A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CFE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8C79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2E4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B4B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Rückstellungen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3A9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119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FE4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92 </w:t>
            </w:r>
          </w:p>
        </w:tc>
      </w:tr>
      <w:tr w:rsidR="0095563A" w:rsidRPr="0095563A" w14:paraId="68ACDE11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60B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685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Vorräte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F7DB2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3.439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DB3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3.598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7139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361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Passive latente Steuern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C69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94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EF4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93 </w:t>
            </w:r>
          </w:p>
        </w:tc>
      </w:tr>
      <w:tr w:rsidR="0095563A" w:rsidRPr="0095563A" w14:paraId="094CA0E1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E4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033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Forderungen L&amp;L und sonstige Forderungen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58B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1.722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FDC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1.650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F70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DDBE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Finanzverbindlichkeiten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9F94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2.846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CA96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3.890 </w:t>
            </w:r>
          </w:p>
        </w:tc>
      </w:tr>
      <w:tr w:rsidR="0095563A" w:rsidRPr="0095563A" w14:paraId="0445300C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8E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72A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Andere Finanzanlagen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FA37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356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032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20D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Langfristige Verbindlichkeiten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10BE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4.317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813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 5.353 </w:t>
            </w:r>
          </w:p>
        </w:tc>
      </w:tr>
      <w:tr w:rsidR="0095563A" w:rsidRPr="0095563A" w14:paraId="4A44DEBB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DE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F9C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518B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F58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56D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5A8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Rückstellungen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D02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701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53F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647 </w:t>
            </w:r>
          </w:p>
        </w:tc>
      </w:tr>
      <w:tr w:rsidR="0095563A" w:rsidRPr="0095563A" w14:paraId="55043416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80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0AB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Kassabestand und kurzfristige Finanzmittel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42C0E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1.160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AEE8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795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E6C6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0C9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Steuerschulden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95D1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52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EE3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 39 </w:t>
            </w:r>
          </w:p>
        </w:tc>
      </w:tr>
      <w:tr w:rsidR="0095563A" w:rsidRPr="0095563A" w14:paraId="71FC2CD6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3F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E32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Summe kurzfristiges Vermögen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BAF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6.466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6186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6.098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57C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32B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Finanzverbindlichkeiten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1E6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1.221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F8D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754 </w:t>
            </w:r>
          </w:p>
        </w:tc>
      </w:tr>
      <w:tr w:rsidR="0095563A" w:rsidRPr="0095563A" w14:paraId="209A7243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F7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E339" w14:textId="77777777" w:rsidR="0095563A" w:rsidRPr="0095563A" w:rsidRDefault="0095563A" w:rsidP="0095563A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563A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D075" w14:textId="77777777" w:rsidR="0095563A" w:rsidRPr="0095563A" w:rsidRDefault="0095563A" w:rsidP="0095563A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563A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EEAB" w14:textId="77777777" w:rsidR="0095563A" w:rsidRPr="0095563A" w:rsidRDefault="0095563A" w:rsidP="0095563A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5563A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11F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876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Verbindlichkeiten aus Lieferungen u. Leistungen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3D4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2.189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C15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1.954 </w:t>
            </w:r>
          </w:p>
        </w:tc>
      </w:tr>
      <w:tr w:rsidR="0095563A" w:rsidRPr="0095563A" w14:paraId="7CBF3C94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42A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604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Zur Veräußerung gehaltene Vermögenswerte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31D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734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156D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3DE1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Wechselverbindlichkeiten, Reverse Factoring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B52E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782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80CC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        607 </w:t>
            </w:r>
          </w:p>
        </w:tc>
      </w:tr>
      <w:tr w:rsidR="0095563A" w:rsidRPr="0095563A" w14:paraId="2C57B3A7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F77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953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01F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5A8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076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8E6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Kurzfristige Verbindlichkeiten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B22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4.944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6CC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 xml:space="preserve">     4.001 </w:t>
            </w:r>
          </w:p>
        </w:tc>
      </w:tr>
      <w:tr w:rsidR="0095563A" w:rsidRPr="0095563A" w14:paraId="16827C04" w14:textId="77777777" w:rsidTr="0095563A">
        <w:trPr>
          <w:trHeight w:val="3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675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33FCF9B6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Summe AKTIVA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B04817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14.910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46E7EE4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14.968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6A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A1117A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Summe PASSIVA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4CC5C1C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14.910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59A7D42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color w:val="FFFFFF"/>
                <w:sz w:val="20"/>
                <w:szCs w:val="20"/>
                <w:lang w:eastAsia="zh-CN"/>
              </w:rPr>
              <w:t>14.968</w:t>
            </w:r>
          </w:p>
        </w:tc>
      </w:tr>
    </w:tbl>
    <w:p w14:paraId="2E2A5BD8" w14:textId="63F1342D" w:rsidR="0095563A" w:rsidRDefault="0095563A" w:rsidP="008915CE">
      <w:pPr>
        <w:rPr>
          <w:rFonts w:asciiTheme="majorHAnsi" w:hAnsiTheme="majorHAnsi"/>
          <w:sz w:val="20"/>
          <w:szCs w:val="20"/>
        </w:rPr>
        <w:sectPr w:rsidR="0095563A" w:rsidSect="008915CE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381"/>
        <w:gridCol w:w="1360"/>
      </w:tblGrid>
      <w:tr w:rsidR="0095563A" w:rsidRPr="0095563A" w14:paraId="125B432A" w14:textId="77777777" w:rsidTr="0095563A">
        <w:trPr>
          <w:trHeight w:val="5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F22" w14:textId="77777777" w:rsidR="0095563A" w:rsidRPr="0095563A" w:rsidRDefault="0095563A" w:rsidP="0095563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04B6B1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18"/>
                <w:szCs w:val="18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18"/>
                <w:szCs w:val="18"/>
                <w:lang w:eastAsia="zh-CN"/>
              </w:rPr>
              <w:t>Abschlussjahr (in Mio.)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67E2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5563A" w:rsidRPr="0095563A" w14:paraId="5BE0DD52" w14:textId="77777777" w:rsidTr="0095563A">
        <w:trPr>
          <w:trHeight w:val="340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C51B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Gewinn- und Verlustrechnung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46A5F5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2020_21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95362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2019_20</w:t>
            </w:r>
          </w:p>
        </w:tc>
      </w:tr>
      <w:tr w:rsidR="0095563A" w:rsidRPr="0095563A" w14:paraId="71526062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8368" w14:textId="77777777" w:rsidR="0095563A" w:rsidRPr="0095563A" w:rsidRDefault="0095563A" w:rsidP="0095563A">
            <w:pPr>
              <w:jc w:val="center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6D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30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57459683" w14:textId="77777777" w:rsidTr="0095563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8855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Umsatzerlöse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F35AF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11.267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82C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12.717</w:t>
            </w:r>
          </w:p>
        </w:tc>
      </w:tr>
      <w:tr w:rsidR="0095563A" w:rsidRPr="0095563A" w14:paraId="10684113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C079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Umsatzkosten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C0A3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-9.412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FC79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-10.559</w:t>
            </w:r>
          </w:p>
        </w:tc>
      </w:tr>
      <w:tr w:rsidR="0095563A" w:rsidRPr="0095563A" w14:paraId="1BE3901A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0A95345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Bruttoergebnis vom Umsatz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904ED0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1.854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D060B12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2.158</w:t>
            </w:r>
          </w:p>
        </w:tc>
      </w:tr>
      <w:tr w:rsidR="0095563A" w:rsidRPr="0095563A" w14:paraId="4EFAC08A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BF1E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sonstige operative Erträge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C67E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494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4D0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443</w:t>
            </w:r>
          </w:p>
        </w:tc>
      </w:tr>
      <w:tr w:rsidR="0095563A" w:rsidRPr="0095563A" w14:paraId="3E742B8A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95FA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Forschungs- und Entwicklungskosten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444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99D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</w:tr>
      <w:tr w:rsidR="0095563A" w:rsidRPr="0095563A" w14:paraId="6F325F88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71897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Verbriebskosten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08F5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-1.025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905E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-1.175</w:t>
            </w:r>
          </w:p>
        </w:tc>
      </w:tr>
      <w:tr w:rsidR="0095563A" w:rsidRPr="0095563A" w14:paraId="2B04CF5C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7C82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Verwaltungskosten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B790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-649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FE8D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-674</w:t>
            </w:r>
          </w:p>
        </w:tc>
      </w:tr>
      <w:tr w:rsidR="0095563A" w:rsidRPr="0095563A" w14:paraId="78D8667B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3BFEE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Sonstige operative Aufwendungen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008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-572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CFB10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-853</w:t>
            </w:r>
          </w:p>
        </w:tc>
      </w:tr>
      <w:tr w:rsidR="0095563A" w:rsidRPr="0095563A" w14:paraId="49B68CB5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07C70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Ergebnis aus </w:t>
            </w: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equity</w:t>
            </w:r>
            <w:proofErr w:type="spellEnd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-bilanzierten Unternehmen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A2F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96A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11</w:t>
            </w:r>
          </w:p>
        </w:tc>
      </w:tr>
      <w:tr w:rsidR="0095563A" w:rsidRPr="0095563A" w14:paraId="581E0B84" w14:textId="77777777" w:rsidTr="0095563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hideMark/>
          </w:tcPr>
          <w:p w14:paraId="7B40DD0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  <w:t>davon Abschreibungen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026B8D1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  <w:t>-1.019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73106C77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eastAsia="zh-CN"/>
              </w:rPr>
              <w:t>-1.271</w:t>
            </w:r>
          </w:p>
        </w:tc>
      </w:tr>
      <w:tr w:rsidR="0095563A" w:rsidRPr="0095563A" w14:paraId="63723B9E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13ACA24B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Operatives Betriebsergebnis (Betriebsergebnis - EBIT)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0DADAD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709F11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-89</w:t>
            </w:r>
          </w:p>
        </w:tc>
      </w:tr>
      <w:tr w:rsidR="0095563A" w:rsidRPr="0095563A" w14:paraId="02718586" w14:textId="77777777" w:rsidTr="0095563A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614C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Zinserträge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1F11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AF29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37</w:t>
            </w:r>
          </w:p>
        </w:tc>
      </w:tr>
      <w:tr w:rsidR="0095563A" w:rsidRPr="0095563A" w14:paraId="51384455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C200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sonstige Finanzerträge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594F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CFA39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</w:tr>
      <w:tr w:rsidR="0095563A" w:rsidRPr="0095563A" w14:paraId="0B9806D6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252C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Zinsaufwand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B88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BBB0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-178</w:t>
            </w:r>
          </w:p>
        </w:tc>
      </w:tr>
      <w:tr w:rsidR="0095563A" w:rsidRPr="0095563A" w14:paraId="39B89015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B068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sonstige </w:t>
            </w: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Finanzaufwendugen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1BA6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93A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</w:t>
            </w:r>
          </w:p>
        </w:tc>
      </w:tr>
      <w:tr w:rsidR="0095563A" w:rsidRPr="0095563A" w14:paraId="4B946666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787C547C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Finanzergebnis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4C2179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-104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51040D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-141</w:t>
            </w:r>
          </w:p>
        </w:tc>
      </w:tr>
      <w:tr w:rsidR="0095563A" w:rsidRPr="0095563A" w14:paraId="7A293F00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3F4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A0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CA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4FEFF651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1B62E381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Ergebnis vor Steuern (EBT)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BBE931F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91EDC2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-230</w:t>
            </w:r>
          </w:p>
        </w:tc>
      </w:tr>
      <w:tr w:rsidR="0095563A" w:rsidRPr="0095563A" w14:paraId="327D5085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65D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F2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BD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6A40E424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CC3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Ertratssteuern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CC4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7A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14</w:t>
            </w:r>
          </w:p>
        </w:tc>
      </w:tr>
      <w:tr w:rsidR="0095563A" w:rsidRPr="0095563A" w14:paraId="5AF7D9EA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D1BAF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3EA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B98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71B6278E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716FBBB9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Ergebnis nach Ertragssteuern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681A09D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5FBA35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  <w:t>-217</w:t>
            </w:r>
          </w:p>
        </w:tc>
      </w:tr>
      <w:tr w:rsidR="0095563A" w:rsidRPr="0095563A" w14:paraId="6820471A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627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D5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342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 </w:t>
            </w:r>
          </w:p>
        </w:tc>
      </w:tr>
      <w:tr w:rsidR="0095563A" w:rsidRPr="0095563A" w14:paraId="027FAFE1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49F44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davon nicht </w:t>
            </w:r>
            <w:proofErr w:type="spellStart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geherrschende</w:t>
            </w:r>
            <w:proofErr w:type="spellEnd"/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 xml:space="preserve"> Anteile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FFA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69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6</w:t>
            </w:r>
          </w:p>
        </w:tc>
      </w:tr>
      <w:tr w:rsidR="0095563A" w:rsidRPr="0095563A" w14:paraId="2093AE9B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B028F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davon Ergebnis der Muttergesellschaft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0E28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5CC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-222</w:t>
            </w:r>
          </w:p>
        </w:tc>
      </w:tr>
      <w:tr w:rsidR="0095563A" w:rsidRPr="0095563A" w14:paraId="13DFADA5" w14:textId="77777777" w:rsidTr="0095563A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2C53" w14:textId="77777777" w:rsidR="0095563A" w:rsidRPr="0095563A" w:rsidRDefault="0095563A" w:rsidP="0095563A">
            <w:pPr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Ergebnis je Aktie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58F3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0,24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323B" w14:textId="77777777" w:rsidR="0095563A" w:rsidRPr="0095563A" w:rsidRDefault="0095563A" w:rsidP="0095563A">
            <w:pPr>
              <w:jc w:val="right"/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</w:pPr>
            <w:r w:rsidRPr="0095563A">
              <w:rPr>
                <w:rFonts w:ascii="Myriad Pro" w:eastAsia="Times New Roman" w:hAnsi="Myriad Pro" w:cs="Calibri"/>
                <w:sz w:val="20"/>
                <w:szCs w:val="20"/>
                <w:lang w:eastAsia="zh-CN"/>
              </w:rPr>
              <w:t>-1,24</w:t>
            </w:r>
          </w:p>
        </w:tc>
      </w:tr>
    </w:tbl>
    <w:p w14:paraId="15E0ED0D" w14:textId="70F2D034" w:rsidR="008915CE" w:rsidRPr="008915CE" w:rsidRDefault="008915CE" w:rsidP="008915CE">
      <w:pPr>
        <w:rPr>
          <w:rFonts w:asciiTheme="majorHAnsi" w:hAnsiTheme="majorHAnsi"/>
          <w:sz w:val="20"/>
          <w:szCs w:val="20"/>
        </w:rPr>
      </w:pPr>
    </w:p>
    <w:p w14:paraId="4FFB53F9" w14:textId="60C64087" w:rsidR="008769CF" w:rsidRDefault="008769CF" w:rsidP="00F43E0A">
      <w:pPr>
        <w:rPr>
          <w:rFonts w:asciiTheme="majorHAnsi" w:hAnsiTheme="majorHAnsi"/>
          <w:b/>
        </w:rPr>
      </w:pPr>
    </w:p>
    <w:p w14:paraId="33904923" w14:textId="4AFD5C10" w:rsidR="007F616A" w:rsidRPr="007F616A" w:rsidRDefault="00CF714A" w:rsidP="00F43E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column"/>
      </w:r>
      <w:r w:rsidR="00677A5A">
        <w:rPr>
          <w:rFonts w:asciiTheme="majorHAnsi" w:hAnsiTheme="majorHAnsi"/>
          <w:b/>
        </w:rPr>
        <w:lastRenderedPageBreak/>
        <w:t xml:space="preserve">Beilage 4: </w:t>
      </w:r>
    </w:p>
    <w:p w14:paraId="4152916A" w14:textId="77777777" w:rsidR="00CF714A" w:rsidRPr="00436379" w:rsidRDefault="00CF714A" w:rsidP="00CF714A">
      <w:pPr>
        <w:rPr>
          <w:b/>
          <w:sz w:val="28"/>
          <w:szCs w:val="28"/>
        </w:rPr>
      </w:pPr>
      <w:r w:rsidRPr="00436379">
        <w:rPr>
          <w:b/>
          <w:sz w:val="28"/>
          <w:szCs w:val="28"/>
        </w:rPr>
        <w:t>FORMELSAMMLUNG zur BILANZANALYSE</w:t>
      </w:r>
    </w:p>
    <w:p w14:paraId="17A17736" w14:textId="77777777" w:rsidR="00CF714A" w:rsidRDefault="00CF714A" w:rsidP="00CF714A"/>
    <w:p w14:paraId="28671515" w14:textId="77777777" w:rsidR="00CF714A" w:rsidRPr="00436379" w:rsidRDefault="00CF714A" w:rsidP="00CF714A">
      <w:pPr>
        <w:rPr>
          <w:sz w:val="28"/>
          <w:szCs w:val="28"/>
        </w:rPr>
      </w:pPr>
      <w:r w:rsidRPr="00436379">
        <w:rPr>
          <w:sz w:val="28"/>
          <w:szCs w:val="28"/>
        </w:rPr>
        <w:t>Formelsammlung</w:t>
      </w:r>
    </w:p>
    <w:p w14:paraId="15A07E87" w14:textId="77777777" w:rsidR="00CF714A" w:rsidRDefault="00CF714A" w:rsidP="00CF714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6529"/>
      </w:tblGrid>
      <w:tr w:rsidR="00CF714A" w14:paraId="45843F7B" w14:textId="77777777" w:rsidTr="00CF714A">
        <w:tc>
          <w:tcPr>
            <w:tcW w:w="3936" w:type="dxa"/>
          </w:tcPr>
          <w:p w14:paraId="4922C7DA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1. Grades</w:t>
            </w:r>
          </w:p>
          <w:p w14:paraId="5659C29F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4C8C3217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396A7E83" w14:textId="77777777" w:rsidR="00CF714A" w:rsidRPr="00102AF6" w:rsidRDefault="00CF714A" w:rsidP="00CF714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2"/>
                    </w:rPr>
                    <m:t>Zahlungsmittel*100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2"/>
                    </w:rPr>
                    <m:t>kurzfristige Verbindlichkeiten</m:t>
                  </m:r>
                </m:den>
              </m:f>
            </m:oMath>
            <w:r w:rsidR="00A5029C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265A6544" wp14:editId="74EB9999">
                  <wp:extent cx="121285" cy="215265"/>
                  <wp:effectExtent l="0" t="0" r="0" b="0"/>
                  <wp:docPr id="2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4A" w14:paraId="5380EE2A" w14:textId="77777777" w:rsidTr="00CF714A">
        <w:tc>
          <w:tcPr>
            <w:tcW w:w="3936" w:type="dxa"/>
          </w:tcPr>
          <w:p w14:paraId="7D842DFE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2. Grades</w:t>
            </w:r>
          </w:p>
          <w:p w14:paraId="52E56115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44CA4D8D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200DFBC8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(Zahlungsmittel+kurzfristig geb.Vermögen)*100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kurzfristige Verbindlichkeiten</m:t>
                    </m:r>
                  </m:den>
                </m:f>
              </m:oMath>
            </m:oMathPara>
          </w:p>
        </w:tc>
      </w:tr>
      <w:tr w:rsidR="00CF714A" w14:paraId="35262DB8" w14:textId="77777777" w:rsidTr="00CF714A">
        <w:tc>
          <w:tcPr>
            <w:tcW w:w="3936" w:type="dxa"/>
          </w:tcPr>
          <w:p w14:paraId="143D982D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Liquidität 3. Grades</w:t>
            </w:r>
          </w:p>
          <w:p w14:paraId="1A03C4CD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1DA1A6C5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5D87932E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(Zahlungsmittel+kurz-und mittelfristig geb.Vermögen)*100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kurz-und mittelfristige Verbindlichkeiten</m:t>
                    </m:r>
                  </m:den>
                </m:f>
              </m:oMath>
            </m:oMathPara>
          </w:p>
        </w:tc>
      </w:tr>
      <w:tr w:rsidR="00CF714A" w14:paraId="6030651B" w14:textId="77777777" w:rsidTr="00CF714A">
        <w:tc>
          <w:tcPr>
            <w:tcW w:w="3936" w:type="dxa"/>
          </w:tcPr>
          <w:p w14:paraId="14B4B5CD" w14:textId="77777777" w:rsidR="00CF714A" w:rsidRDefault="00CF714A" w:rsidP="00CF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Capital</w:t>
            </w:r>
          </w:p>
          <w:p w14:paraId="73AF37A9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23F74575" w14:textId="77777777" w:rsidR="00CF714A" w:rsidRPr="00102AF6" w:rsidRDefault="00CF714A" w:rsidP="00CF714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= Umlaufvermögen – kurzfristigen Verbindlichkeiten</w:t>
            </w:r>
          </w:p>
        </w:tc>
      </w:tr>
      <w:tr w:rsidR="00CF714A" w14:paraId="11EB096F" w14:textId="77777777" w:rsidTr="00CF714A">
        <w:tc>
          <w:tcPr>
            <w:tcW w:w="3936" w:type="dxa"/>
          </w:tcPr>
          <w:p w14:paraId="3BA3A137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Cash Flow</w:t>
            </w:r>
          </w:p>
          <w:p w14:paraId="0F6C7DBF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5020B5CB" w14:textId="77777777" w:rsidR="00CF714A" w:rsidRPr="00102AF6" w:rsidRDefault="00CF714A" w:rsidP="00CF714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102AF6">
              <w:rPr>
                <w:rFonts w:ascii="Cambria Math" w:hAnsi="Cambria Math"/>
                <w:sz w:val="22"/>
                <w:szCs w:val="22"/>
              </w:rPr>
              <w:t>= EGT + Abschreibungen</w:t>
            </w:r>
          </w:p>
        </w:tc>
      </w:tr>
      <w:tr w:rsidR="00CF714A" w14:paraId="5DA26080" w14:textId="77777777" w:rsidTr="00CF714A">
        <w:tc>
          <w:tcPr>
            <w:tcW w:w="3936" w:type="dxa"/>
          </w:tcPr>
          <w:p w14:paraId="00D5B541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Gesamtkapital</w:t>
            </w:r>
            <w:r>
              <w:rPr>
                <w:sz w:val="22"/>
                <w:szCs w:val="22"/>
              </w:rPr>
              <w:t>-</w:t>
            </w:r>
            <w:r w:rsidRPr="00102AF6">
              <w:rPr>
                <w:sz w:val="22"/>
                <w:szCs w:val="22"/>
              </w:rPr>
              <w:t>rentabilität</w:t>
            </w:r>
          </w:p>
          <w:p w14:paraId="21972E7F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3FDF743D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7A7B0CAE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EGT+Fremdkapitalzinsen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Gesamtkapital</m:t>
                    </m:r>
                  </m:den>
                </m:f>
              </m:oMath>
            </m:oMathPara>
          </w:p>
        </w:tc>
      </w:tr>
      <w:tr w:rsidR="00CF714A" w14:paraId="57FD7FCE" w14:textId="77777777" w:rsidTr="00CF714A">
        <w:tc>
          <w:tcPr>
            <w:tcW w:w="3936" w:type="dxa"/>
          </w:tcPr>
          <w:p w14:paraId="395D00EB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Cash-Flow-Leistungsrate</w:t>
            </w:r>
            <w:r>
              <w:rPr>
                <w:sz w:val="22"/>
                <w:szCs w:val="22"/>
              </w:rPr>
              <w:t xml:space="preserve"> (CF in % vom Umsatz)</w:t>
            </w:r>
          </w:p>
          <w:p w14:paraId="3FF8F8DC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4D6FE052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Cash Flow*100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Betriebsleistung (Umsatz)</m:t>
                    </m:r>
                  </m:den>
                </m:f>
              </m:oMath>
            </m:oMathPara>
          </w:p>
        </w:tc>
      </w:tr>
      <w:tr w:rsidR="00CF714A" w14:paraId="6BCA98C5" w14:textId="77777777" w:rsidTr="00CF714A">
        <w:tc>
          <w:tcPr>
            <w:tcW w:w="3936" w:type="dxa"/>
          </w:tcPr>
          <w:p w14:paraId="331CEFC2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Eigenkapitalquote</w:t>
            </w:r>
          </w:p>
          <w:p w14:paraId="7826AADB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7E759B66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00D7A466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Eigenkapital*100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Gesamtkapital</m:t>
                    </m:r>
                  </m:den>
                </m:f>
              </m:oMath>
            </m:oMathPara>
          </w:p>
        </w:tc>
      </w:tr>
      <w:tr w:rsidR="00CF714A" w14:paraId="4650A1D8" w14:textId="77777777" w:rsidTr="00CF714A">
        <w:tc>
          <w:tcPr>
            <w:tcW w:w="3936" w:type="dxa"/>
          </w:tcPr>
          <w:p w14:paraId="5653B4DA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Entschuldungsdauer</w:t>
            </w:r>
          </w:p>
          <w:p w14:paraId="644DFB2A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  <w:p w14:paraId="1EA970A6" w14:textId="77777777" w:rsidR="00CF714A" w:rsidRPr="00102AF6" w:rsidRDefault="00CF714A" w:rsidP="00CF714A">
            <w:pPr>
              <w:rPr>
                <w:sz w:val="22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6553437B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Fremdkapital-liquide Mittel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Cash Flow</m:t>
                    </m:r>
                  </m:den>
                </m:f>
              </m:oMath>
            </m:oMathPara>
          </w:p>
        </w:tc>
      </w:tr>
      <w:tr w:rsidR="00CF714A" w14:paraId="5C10BF80" w14:textId="77777777" w:rsidTr="00CF714A">
        <w:tc>
          <w:tcPr>
            <w:tcW w:w="3936" w:type="dxa"/>
          </w:tcPr>
          <w:p w14:paraId="1E5DC558" w14:textId="77777777" w:rsidR="00CF714A" w:rsidRPr="00102AF6" w:rsidRDefault="00CF714A" w:rsidP="00CF714A">
            <w:pPr>
              <w:rPr>
                <w:sz w:val="22"/>
                <w:szCs w:val="22"/>
              </w:rPr>
            </w:pPr>
            <w:r w:rsidRPr="00102AF6">
              <w:rPr>
                <w:sz w:val="22"/>
                <w:szCs w:val="22"/>
              </w:rPr>
              <w:t>Anlagendeckung II („goldene Finanzierungsregel“)</w:t>
            </w:r>
          </w:p>
        </w:tc>
        <w:tc>
          <w:tcPr>
            <w:tcW w:w="5276" w:type="dxa"/>
            <w:vAlign w:val="center"/>
          </w:tcPr>
          <w:p w14:paraId="0E688DB3" w14:textId="77777777" w:rsidR="00CF714A" w:rsidRPr="00D114F2" w:rsidRDefault="00CF714A" w:rsidP="00CF714A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(Eigenkapital+langfristiges Fremdkapital)*100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Anlagevermögen</m:t>
                    </m:r>
                  </m:den>
                </m:f>
              </m:oMath>
            </m:oMathPara>
          </w:p>
        </w:tc>
      </w:tr>
    </w:tbl>
    <w:p w14:paraId="098F898A" w14:textId="77777777" w:rsidR="00CF714A" w:rsidRDefault="00CF714A" w:rsidP="00CF714A">
      <w:pPr>
        <w:pStyle w:val="Text"/>
        <w:rPr>
          <w:sz w:val="22"/>
        </w:rPr>
      </w:pPr>
    </w:p>
    <w:p w14:paraId="629C2628" w14:textId="77777777" w:rsidR="00CF714A" w:rsidRDefault="00CF714A" w:rsidP="00CF714A">
      <w:pPr>
        <w:pStyle w:val="Text"/>
        <w:rPr>
          <w:sz w:val="22"/>
        </w:rPr>
      </w:pPr>
    </w:p>
    <w:p w14:paraId="1B70C11F" w14:textId="77777777" w:rsidR="00CF714A" w:rsidRPr="00363BD9" w:rsidRDefault="00CF714A" w:rsidP="00CF714A">
      <w:pPr>
        <w:rPr>
          <w:b/>
          <w:sz w:val="22"/>
          <w:szCs w:val="22"/>
        </w:rPr>
      </w:pPr>
      <w:r>
        <w:rPr>
          <w:b/>
          <w:sz w:val="22"/>
          <w:szCs w:val="22"/>
        </w:rPr>
        <w:t>Beurteilungsraster</w:t>
      </w:r>
    </w:p>
    <w:p w14:paraId="4FAD8E03" w14:textId="77777777" w:rsidR="00CF714A" w:rsidRDefault="00CF714A" w:rsidP="00CF714A">
      <w:pPr>
        <w:jc w:val="center"/>
      </w:pPr>
    </w:p>
    <w:p w14:paraId="502DFB6E" w14:textId="77777777" w:rsidR="00CF714A" w:rsidRDefault="00CF714A" w:rsidP="00CF714A">
      <w:pPr>
        <w:jc w:val="center"/>
      </w:pPr>
      <w:r>
        <w:rPr>
          <w:noProof/>
          <w:lang w:val="de-DE"/>
        </w:rPr>
        <w:drawing>
          <wp:inline distT="0" distB="0" distL="0" distR="0" wp14:anchorId="0D706FC2" wp14:editId="2D7C0B9E">
            <wp:extent cx="5180591" cy="1764156"/>
            <wp:effectExtent l="0" t="0" r="127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16" cy="17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8BD9" w14:textId="77777777" w:rsidR="00CF714A" w:rsidRDefault="00CF714A" w:rsidP="00CF714A">
      <w:pPr>
        <w:jc w:val="center"/>
      </w:pPr>
    </w:p>
    <w:p w14:paraId="7BE8B1FC" w14:textId="77777777" w:rsidR="00CF714A" w:rsidRDefault="00CF714A" w:rsidP="00CF714A"/>
    <w:p w14:paraId="32347B6B" w14:textId="756F9515" w:rsidR="002B1938" w:rsidRPr="002C5F19" w:rsidRDefault="00851B64" w:rsidP="002C5F1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51837B8C" w14:textId="6922D118" w:rsidR="00851B64" w:rsidRDefault="00851B64" w:rsidP="001D5ED8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 w:rsidRPr="00851B64">
        <w:rPr>
          <w:rFonts w:asciiTheme="majorHAnsi" w:hAnsiTheme="majorHAnsi"/>
          <w:b/>
        </w:rPr>
        <w:t>a) Analysieren Sie</w:t>
      </w:r>
      <w:r w:rsidRPr="00851B64">
        <w:rPr>
          <w:rFonts w:asciiTheme="majorHAnsi" w:hAnsiTheme="majorHAnsi"/>
        </w:rPr>
        <w:t xml:space="preserve"> Bilanz und G&amp;V der </w:t>
      </w:r>
      <w:r w:rsidR="00522759">
        <w:rPr>
          <w:rFonts w:asciiTheme="majorHAnsi" w:hAnsiTheme="majorHAnsi"/>
        </w:rPr>
        <w:t>VÖST Alpine AG</w:t>
      </w:r>
      <w:r w:rsidRPr="00851B64">
        <w:rPr>
          <w:rFonts w:asciiTheme="majorHAnsi" w:hAnsiTheme="majorHAnsi"/>
        </w:rPr>
        <w:t xml:space="preserve"> anhand folgender Kennzahlen: (Erklären und Berechnen Sie diese Kennzahlen)</w:t>
      </w:r>
      <w:r>
        <w:rPr>
          <w:rFonts w:asciiTheme="majorHAnsi" w:hAnsiTheme="majorHAnsi"/>
        </w:rPr>
        <w:t>:</w:t>
      </w:r>
    </w:p>
    <w:p w14:paraId="3C277B9B" w14:textId="77777777" w:rsidR="00851B64" w:rsidRPr="00851B64" w:rsidRDefault="00851B64" w:rsidP="00851B64">
      <w:pPr>
        <w:pStyle w:val="Listenabsatz"/>
        <w:rPr>
          <w:rFonts w:asciiTheme="majorHAnsi" w:hAnsiTheme="majorHAnsi"/>
        </w:rPr>
      </w:pPr>
    </w:p>
    <w:p w14:paraId="51BDC9AA" w14:textId="77777777" w:rsidR="00851B64" w:rsidRPr="00851B64" w:rsidRDefault="00851B64" w:rsidP="00851B64">
      <w:pPr>
        <w:rPr>
          <w:rFonts w:asciiTheme="majorHAnsi" w:hAnsiTheme="majorHAnsi"/>
        </w:rPr>
      </w:pPr>
      <w:r w:rsidRPr="00851B64">
        <w:rPr>
          <w:rFonts w:asciiTheme="majorHAnsi" w:hAnsiTheme="majorHAnsi"/>
        </w:rPr>
        <w:t>Cash Flow (nach der Praktiker Methode):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14:paraId="49F123FD" w14:textId="77777777" w:rsidTr="0004490B">
        <w:tc>
          <w:tcPr>
            <w:tcW w:w="9056" w:type="dxa"/>
          </w:tcPr>
          <w:p w14:paraId="78EE6F39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6E2DD032" w14:textId="11216F4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6E98FCFB" w14:textId="6AC325E8" w:rsidR="002B1938" w:rsidRDefault="002B1938" w:rsidP="0004490B">
            <w:pPr>
              <w:rPr>
                <w:rFonts w:asciiTheme="majorHAnsi" w:hAnsiTheme="majorHAnsi" w:cs="Arial"/>
              </w:rPr>
            </w:pPr>
          </w:p>
          <w:p w14:paraId="5B922380" w14:textId="77777777" w:rsidR="006D18A7" w:rsidRDefault="006D18A7" w:rsidP="0004490B">
            <w:pPr>
              <w:rPr>
                <w:rFonts w:asciiTheme="majorHAnsi" w:hAnsiTheme="majorHAnsi" w:cs="Arial"/>
              </w:rPr>
            </w:pPr>
          </w:p>
          <w:p w14:paraId="7E2E1BE5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</w:tc>
      </w:tr>
    </w:tbl>
    <w:p w14:paraId="42FE8E3B" w14:textId="77777777" w:rsidR="00851B64" w:rsidRPr="00851B64" w:rsidRDefault="00851B64" w:rsidP="00851B64">
      <w:pPr>
        <w:rPr>
          <w:rFonts w:asciiTheme="majorHAnsi" w:hAnsiTheme="majorHAnsi"/>
          <w:lang w:val="en-US"/>
        </w:rPr>
      </w:pPr>
      <w:r w:rsidRPr="00851B64">
        <w:rPr>
          <w:rFonts w:asciiTheme="majorHAnsi" w:hAnsiTheme="majorHAnsi"/>
          <w:lang w:val="en-US"/>
        </w:rPr>
        <w:t>Anlagen</w:t>
      </w:r>
      <w:r w:rsidR="00BF6173">
        <w:rPr>
          <w:rFonts w:asciiTheme="majorHAnsi" w:hAnsiTheme="majorHAnsi"/>
          <w:lang w:val="en-US"/>
        </w:rPr>
        <w:t xml:space="preserve"> </w:t>
      </w:r>
      <w:proofErr w:type="spellStart"/>
      <w:r w:rsidR="00BF6173">
        <w:rPr>
          <w:rFonts w:asciiTheme="majorHAnsi" w:hAnsiTheme="majorHAnsi"/>
          <w:lang w:val="en-US"/>
        </w:rPr>
        <w:t>I</w:t>
      </w:r>
      <w:r w:rsidRPr="00851B64">
        <w:rPr>
          <w:rFonts w:asciiTheme="majorHAnsi" w:hAnsiTheme="majorHAnsi"/>
          <w:lang w:val="en-US"/>
        </w:rPr>
        <w:t>ntensität</w:t>
      </w:r>
      <w:proofErr w:type="spellEnd"/>
      <w:r w:rsidRPr="00851B64">
        <w:rPr>
          <w:rFonts w:asciiTheme="majorHAnsi" w:hAnsiTheme="majorHAnsi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14:paraId="7B748C80" w14:textId="77777777" w:rsidTr="0004490B">
        <w:tc>
          <w:tcPr>
            <w:tcW w:w="9056" w:type="dxa"/>
          </w:tcPr>
          <w:p w14:paraId="3AA347CC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25063933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7ACD1611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0CECF460" w14:textId="77777777" w:rsidR="002B1938" w:rsidRDefault="002B1938" w:rsidP="0004490B">
            <w:pPr>
              <w:rPr>
                <w:rFonts w:asciiTheme="majorHAnsi" w:hAnsiTheme="majorHAnsi" w:cs="Arial"/>
              </w:rPr>
            </w:pPr>
          </w:p>
          <w:p w14:paraId="28D48163" w14:textId="2779F65C" w:rsidR="006D18A7" w:rsidRDefault="006D18A7" w:rsidP="0004490B">
            <w:pPr>
              <w:rPr>
                <w:rFonts w:asciiTheme="majorHAnsi" w:hAnsiTheme="majorHAnsi" w:cs="Arial"/>
              </w:rPr>
            </w:pPr>
          </w:p>
        </w:tc>
      </w:tr>
    </w:tbl>
    <w:p w14:paraId="413F0D06" w14:textId="77777777" w:rsidR="00851B64" w:rsidRPr="00851B64" w:rsidRDefault="00851B64" w:rsidP="00851B64">
      <w:pPr>
        <w:rPr>
          <w:rFonts w:asciiTheme="majorHAnsi" w:hAnsiTheme="majorHAnsi"/>
          <w:lang w:val="en-US"/>
        </w:rPr>
      </w:pPr>
      <w:r w:rsidRPr="00851B64">
        <w:rPr>
          <w:rFonts w:asciiTheme="majorHAnsi" w:hAnsiTheme="majorHAnsi"/>
          <w:lang w:val="en-US"/>
        </w:rPr>
        <w:t>Working Capital: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14:paraId="5C93B65A" w14:textId="77777777" w:rsidTr="0004490B">
        <w:tc>
          <w:tcPr>
            <w:tcW w:w="9056" w:type="dxa"/>
          </w:tcPr>
          <w:p w14:paraId="2AE38934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61EB9B2E" w14:textId="7967CF41" w:rsidR="002B1938" w:rsidRDefault="002B1938" w:rsidP="00175EC3">
            <w:pPr>
              <w:rPr>
                <w:rFonts w:asciiTheme="majorHAnsi" w:hAnsiTheme="majorHAnsi" w:cs="Arial"/>
              </w:rPr>
            </w:pPr>
          </w:p>
          <w:p w14:paraId="1E86DC4A" w14:textId="77777777" w:rsidR="006D18A7" w:rsidRDefault="006D18A7" w:rsidP="00175EC3">
            <w:pPr>
              <w:rPr>
                <w:rFonts w:asciiTheme="majorHAnsi" w:hAnsiTheme="majorHAnsi" w:cs="Arial"/>
              </w:rPr>
            </w:pPr>
          </w:p>
          <w:p w14:paraId="26AD2C92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</w:tc>
      </w:tr>
    </w:tbl>
    <w:p w14:paraId="29C78851" w14:textId="77777777" w:rsidR="00851B64" w:rsidRPr="00851B64" w:rsidRDefault="00851B64" w:rsidP="00851B64">
      <w:pPr>
        <w:rPr>
          <w:rFonts w:asciiTheme="majorHAnsi" w:hAnsiTheme="majorHAnsi"/>
        </w:rPr>
      </w:pPr>
      <w:r w:rsidRPr="00851B64">
        <w:rPr>
          <w:rFonts w:asciiTheme="majorHAnsi" w:hAnsiTheme="majorHAnsi"/>
        </w:rPr>
        <w:t>Anlagendeckung 2. Grades: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1B64" w14:paraId="2C2A7323" w14:textId="77777777" w:rsidTr="0004490B">
        <w:tc>
          <w:tcPr>
            <w:tcW w:w="9056" w:type="dxa"/>
          </w:tcPr>
          <w:p w14:paraId="66C55B4C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3C4C6493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59BB3FCE" w14:textId="272677CD" w:rsidR="00851B64" w:rsidRDefault="00851B64" w:rsidP="0004490B">
            <w:pPr>
              <w:rPr>
                <w:rFonts w:asciiTheme="majorHAnsi" w:hAnsiTheme="majorHAnsi" w:cs="Arial"/>
              </w:rPr>
            </w:pPr>
          </w:p>
          <w:p w14:paraId="09CECA05" w14:textId="7F6FF53D" w:rsidR="006D18A7" w:rsidRDefault="006D18A7" w:rsidP="0004490B">
            <w:pPr>
              <w:rPr>
                <w:rFonts w:asciiTheme="majorHAnsi" w:hAnsiTheme="majorHAnsi" w:cs="Arial"/>
              </w:rPr>
            </w:pPr>
          </w:p>
          <w:p w14:paraId="052018C8" w14:textId="77777777" w:rsidR="006D18A7" w:rsidRDefault="006D18A7" w:rsidP="0004490B">
            <w:pPr>
              <w:rPr>
                <w:rFonts w:asciiTheme="majorHAnsi" w:hAnsiTheme="majorHAnsi" w:cs="Arial"/>
              </w:rPr>
            </w:pPr>
          </w:p>
          <w:p w14:paraId="7F8BAAF5" w14:textId="77777777" w:rsidR="00851B64" w:rsidRDefault="00851B64" w:rsidP="0004490B">
            <w:pPr>
              <w:rPr>
                <w:rFonts w:asciiTheme="majorHAnsi" w:hAnsiTheme="majorHAnsi" w:cs="Arial"/>
              </w:rPr>
            </w:pPr>
          </w:p>
        </w:tc>
      </w:tr>
    </w:tbl>
    <w:p w14:paraId="15C97525" w14:textId="2E28CBD6" w:rsidR="00851B64" w:rsidRPr="00175EC3" w:rsidRDefault="00851B64" w:rsidP="00175EC3">
      <w:pPr>
        <w:rPr>
          <w:rFonts w:asciiTheme="majorHAnsi" w:hAnsiTheme="majorHAnsi"/>
        </w:rPr>
      </w:pPr>
    </w:p>
    <w:p w14:paraId="6C9FD14C" w14:textId="77777777" w:rsidR="00851B64" w:rsidRPr="002623A4" w:rsidRDefault="00851B64" w:rsidP="00851B64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Ermitteln Sie den Quicktest </w:t>
      </w:r>
      <w:r w:rsidR="001C28A1">
        <w:rPr>
          <w:rFonts w:asciiTheme="majorHAnsi" w:hAnsiTheme="majorHAnsi"/>
        </w:rPr>
        <w:t xml:space="preserve">(Detaillierte Berechnung, Note, Interpretation) </w:t>
      </w:r>
      <w:r>
        <w:rPr>
          <w:rFonts w:asciiTheme="majorHAnsi" w:hAnsiTheme="majorHAnsi"/>
        </w:rPr>
        <w:t xml:space="preserve">und vergleichen Sie Ihr Ergebnis mit den Rating-Kategorien, wo würden Sie Egger </w:t>
      </w:r>
      <w:r w:rsidRPr="00A01ED6">
        <w:rPr>
          <w:rFonts w:asciiTheme="majorHAnsi" w:hAnsiTheme="majorHAnsi"/>
          <w:b/>
        </w:rPr>
        <w:t>einordnen</w:t>
      </w:r>
      <w:r>
        <w:rPr>
          <w:rFonts w:asciiTheme="majorHAnsi" w:hAnsiTheme="majorHAnsi"/>
        </w:rPr>
        <w:t xml:space="preserve">? </w:t>
      </w:r>
    </w:p>
    <w:p w14:paraId="4FEDA89F" w14:textId="3B6353CC" w:rsidR="00936C8F" w:rsidRDefault="00936C8F" w:rsidP="004171BC">
      <w:pPr>
        <w:rPr>
          <w:rFonts w:asciiTheme="majorHAnsi" w:hAnsiTheme="majorHAnsi"/>
        </w:rPr>
      </w:pPr>
    </w:p>
    <w:p w14:paraId="7A9FC5C4" w14:textId="6A6B8FED" w:rsidR="00936C8F" w:rsidRPr="003C6047" w:rsidRDefault="003C6047" w:rsidP="00851B64">
      <w:pPr>
        <w:ind w:left="708"/>
        <w:rPr>
          <w:rFonts w:asciiTheme="majorHAnsi" w:hAnsiTheme="majorHAnsi"/>
          <w:b/>
          <w:bCs/>
        </w:rPr>
      </w:pPr>
      <w:r w:rsidRPr="003C6047">
        <w:rPr>
          <w:rFonts w:asciiTheme="majorHAnsi" w:hAnsiTheme="majorHAnsi"/>
          <w:b/>
          <w:bCs/>
        </w:rPr>
        <w:t>Berechnung – Ergebnis - Interpretation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26"/>
      </w:tblGrid>
      <w:tr w:rsidR="00851B64" w14:paraId="2D0EF67E" w14:textId="77777777" w:rsidTr="00D139A7">
        <w:tc>
          <w:tcPr>
            <w:tcW w:w="1696" w:type="dxa"/>
          </w:tcPr>
          <w:p w14:paraId="4717B22B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6E278BF0" w14:textId="77777777" w:rsidR="00851B64" w:rsidRPr="00875485" w:rsidRDefault="00851B64" w:rsidP="006D18A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14:paraId="2AD5B35E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7E307856" w14:textId="6C929A37" w:rsidR="00D139A7" w:rsidRPr="00875485" w:rsidRDefault="00D139A7" w:rsidP="00851B64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14:paraId="21BEA132" w14:textId="77777777" w:rsidR="006D18A7" w:rsidRDefault="006D18A7" w:rsidP="006D18A7">
            <w:pPr>
              <w:rPr>
                <w:rFonts w:asciiTheme="majorHAnsi" w:hAnsiTheme="majorHAnsi"/>
                <w:color w:val="00B050"/>
              </w:rPr>
            </w:pPr>
          </w:p>
          <w:p w14:paraId="4CC60A2E" w14:textId="77777777" w:rsidR="006D18A7" w:rsidRDefault="006D18A7" w:rsidP="006D18A7">
            <w:pPr>
              <w:rPr>
                <w:rFonts w:asciiTheme="majorHAnsi" w:hAnsiTheme="majorHAnsi"/>
                <w:color w:val="00B050"/>
              </w:rPr>
            </w:pPr>
          </w:p>
          <w:p w14:paraId="248568B7" w14:textId="293AB888" w:rsidR="006D18A7" w:rsidRPr="00936C8F" w:rsidRDefault="006D18A7" w:rsidP="006D18A7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14:paraId="32C15D23" w14:textId="77777777" w:rsidTr="00D139A7">
        <w:tc>
          <w:tcPr>
            <w:tcW w:w="1696" w:type="dxa"/>
          </w:tcPr>
          <w:p w14:paraId="32131A96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21EFCC07" w14:textId="51481F91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0772F2BA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14:paraId="3B6EAF4A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5FD6764D" w14:textId="56EFEB4B" w:rsidR="00D139A7" w:rsidRPr="006D18A7" w:rsidRDefault="00D139A7" w:rsidP="006D18A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14:paraId="418552AC" w14:textId="1D547CEB" w:rsidR="00851B64" w:rsidRPr="00936C8F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14:paraId="09F4BF2C" w14:textId="77777777" w:rsidTr="00D139A7">
        <w:tc>
          <w:tcPr>
            <w:tcW w:w="1696" w:type="dxa"/>
          </w:tcPr>
          <w:p w14:paraId="3F1EDA96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30F70389" w14:textId="77777777" w:rsidR="00851B64" w:rsidRPr="00875485" w:rsidRDefault="00851B64" w:rsidP="006D18A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14:paraId="2E7E2938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0F4F7085" w14:textId="1120280F" w:rsidR="00D139A7" w:rsidRPr="00875485" w:rsidRDefault="00D139A7" w:rsidP="006D18A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14:paraId="0BF8CA13" w14:textId="77777777" w:rsidR="00851B64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08D3A779" w14:textId="77777777" w:rsidR="006D18A7" w:rsidRDefault="006D18A7" w:rsidP="00851B64">
            <w:pPr>
              <w:rPr>
                <w:rFonts w:asciiTheme="majorHAnsi" w:hAnsiTheme="majorHAnsi"/>
                <w:color w:val="00B050"/>
              </w:rPr>
            </w:pPr>
          </w:p>
          <w:p w14:paraId="759C584F" w14:textId="626CF3D9" w:rsidR="006D18A7" w:rsidRPr="00936C8F" w:rsidRDefault="006D18A7" w:rsidP="00851B64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51B64" w14:paraId="703A8F46" w14:textId="77777777" w:rsidTr="00D139A7">
        <w:tc>
          <w:tcPr>
            <w:tcW w:w="1696" w:type="dxa"/>
          </w:tcPr>
          <w:p w14:paraId="0D56A0D4" w14:textId="77777777" w:rsidR="00851B64" w:rsidRPr="00875485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5FAB5D6C" w14:textId="4470A0BE" w:rsidR="00851B64" w:rsidRPr="00875485" w:rsidRDefault="00851B64" w:rsidP="006D18A7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134" w:type="dxa"/>
          </w:tcPr>
          <w:p w14:paraId="4C2BCF00" w14:textId="4EE50EAB" w:rsidR="00D139A7" w:rsidRPr="00875485" w:rsidRDefault="00D139A7" w:rsidP="00851B64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6226" w:type="dxa"/>
          </w:tcPr>
          <w:p w14:paraId="2F6068D3" w14:textId="77777777" w:rsidR="00851B64" w:rsidRDefault="00851B64" w:rsidP="00851B64">
            <w:pPr>
              <w:rPr>
                <w:rFonts w:asciiTheme="majorHAnsi" w:hAnsiTheme="majorHAnsi"/>
                <w:color w:val="00B050"/>
              </w:rPr>
            </w:pPr>
          </w:p>
          <w:p w14:paraId="0BF86ECB" w14:textId="77777777" w:rsidR="006D18A7" w:rsidRDefault="006D18A7" w:rsidP="00851B64">
            <w:pPr>
              <w:rPr>
                <w:rFonts w:asciiTheme="majorHAnsi" w:hAnsiTheme="majorHAnsi"/>
                <w:color w:val="00B050"/>
              </w:rPr>
            </w:pPr>
          </w:p>
          <w:p w14:paraId="4250355C" w14:textId="77777777" w:rsidR="006D18A7" w:rsidRDefault="006D18A7" w:rsidP="00851B64">
            <w:pPr>
              <w:rPr>
                <w:rFonts w:asciiTheme="majorHAnsi" w:hAnsiTheme="majorHAnsi"/>
                <w:color w:val="00B050"/>
              </w:rPr>
            </w:pPr>
          </w:p>
          <w:p w14:paraId="47B119E0" w14:textId="54BF19DE" w:rsidR="006D18A7" w:rsidRPr="00936C8F" w:rsidRDefault="006D18A7" w:rsidP="00851B64">
            <w:pPr>
              <w:rPr>
                <w:rFonts w:asciiTheme="majorHAnsi" w:hAnsiTheme="majorHAnsi"/>
                <w:color w:val="00B050"/>
              </w:rPr>
            </w:pPr>
          </w:p>
        </w:tc>
      </w:tr>
    </w:tbl>
    <w:p w14:paraId="253861D9" w14:textId="16452217" w:rsidR="00851B64" w:rsidRDefault="00851B64" w:rsidP="00522759">
      <w:pPr>
        <w:rPr>
          <w:rFonts w:asciiTheme="majorHAnsi" w:hAnsiTheme="majorHAnsi"/>
        </w:rPr>
      </w:pPr>
    </w:p>
    <w:p w14:paraId="00198C6A" w14:textId="3A281A65" w:rsidR="00175EC3" w:rsidRDefault="00175EC3" w:rsidP="00E42ADA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Recherchieren Sie</w:t>
      </w:r>
      <w:r w:rsidR="00851B64" w:rsidRPr="00175E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nach Preisdaten der </w:t>
      </w:r>
      <w:r w:rsidR="00803752">
        <w:rPr>
          <w:rFonts w:asciiTheme="majorHAnsi" w:hAnsiTheme="majorHAnsi"/>
        </w:rPr>
        <w:t>VÖST Alpine AG</w:t>
      </w:r>
      <w:r w:rsidR="00C023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 der Wiener Börse</w:t>
      </w:r>
      <w:r w:rsidR="00522759">
        <w:rPr>
          <w:rFonts w:asciiTheme="majorHAnsi" w:hAnsiTheme="majorHAnsi"/>
        </w:rPr>
        <w:t xml:space="preserve"> und beantworten Sie folgende Fragen</w:t>
      </w:r>
      <w:r>
        <w:rPr>
          <w:rFonts w:asciiTheme="majorHAnsi" w:hAnsiTheme="majorHAnsi"/>
        </w:rPr>
        <w:t xml:space="preserve">. </w:t>
      </w:r>
    </w:p>
    <w:p w14:paraId="466AC8B1" w14:textId="77777777" w:rsidR="00522759" w:rsidRDefault="00522759" w:rsidP="00175EC3">
      <w:pPr>
        <w:pStyle w:val="Listenabsatz"/>
        <w:rPr>
          <w:rFonts w:asciiTheme="majorHAnsi" w:hAnsiTheme="majorHAnsi"/>
          <w:bCs/>
        </w:rPr>
      </w:pPr>
    </w:p>
    <w:p w14:paraId="159C738D" w14:textId="1D7F51C9" w:rsidR="00175EC3" w:rsidRPr="00522759" w:rsidRDefault="00175EC3" w:rsidP="0052275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 xml:space="preserve">Wie hoch ist </w:t>
      </w:r>
      <w:r w:rsidR="00803752" w:rsidRPr="00522759">
        <w:rPr>
          <w:rFonts w:asciiTheme="majorHAnsi" w:hAnsiTheme="majorHAnsi"/>
          <w:bCs/>
        </w:rPr>
        <w:t xml:space="preserve">die </w:t>
      </w:r>
      <w:r w:rsidR="00522759" w:rsidRPr="00522759">
        <w:rPr>
          <w:rFonts w:asciiTheme="majorHAnsi" w:hAnsiTheme="majorHAnsi"/>
          <w:bCs/>
        </w:rPr>
        <w:t xml:space="preserve">aktuelle </w:t>
      </w:r>
      <w:r w:rsidR="00803752" w:rsidRPr="00522759">
        <w:rPr>
          <w:rFonts w:asciiTheme="majorHAnsi" w:hAnsiTheme="majorHAnsi"/>
          <w:bCs/>
        </w:rPr>
        <w:t>Marktkapitalisierung</w:t>
      </w:r>
      <w:r w:rsidRPr="00522759">
        <w:rPr>
          <w:rFonts w:asciiTheme="majorHAnsi" w:hAnsiTheme="majorHAnsi"/>
          <w:bCs/>
        </w:rPr>
        <w:t>?</w:t>
      </w:r>
      <w:r w:rsidR="00522759" w:rsidRPr="00522759">
        <w:rPr>
          <w:rFonts w:asciiTheme="majorHAnsi" w:hAnsiTheme="majorHAnsi"/>
          <w:bCs/>
        </w:rPr>
        <w:t xml:space="preserve"> Was bedeutet Marktkapitalisierung?</w:t>
      </w:r>
    </w:p>
    <w:p w14:paraId="7DB0B71B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2E79D80F" w14:textId="77777777" w:rsidTr="0065009A">
        <w:tc>
          <w:tcPr>
            <w:tcW w:w="9056" w:type="dxa"/>
          </w:tcPr>
          <w:p w14:paraId="7F6D91CC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F64F0E2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5AEE7C11" w14:textId="77777777" w:rsidR="00564621" w:rsidRDefault="00564621" w:rsidP="00175EC3">
      <w:pPr>
        <w:pStyle w:val="Listenabsatz"/>
        <w:rPr>
          <w:rFonts w:asciiTheme="majorHAnsi" w:hAnsiTheme="majorHAnsi"/>
          <w:bCs/>
        </w:rPr>
      </w:pPr>
    </w:p>
    <w:p w14:paraId="4903993F" w14:textId="08E6D4ED" w:rsidR="00175EC3" w:rsidRDefault="00803752" w:rsidP="0052275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Woran erkennt man, dass das Unternehmen Gewinne macht</w:t>
      </w:r>
      <w:r w:rsidR="00175EC3" w:rsidRPr="00522759">
        <w:rPr>
          <w:rFonts w:asciiTheme="majorHAnsi" w:hAnsiTheme="majorHAnsi"/>
          <w:bCs/>
        </w:rPr>
        <w:t>?</w:t>
      </w:r>
    </w:p>
    <w:p w14:paraId="377A491C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150B157E" w14:textId="77777777" w:rsidTr="0065009A">
        <w:tc>
          <w:tcPr>
            <w:tcW w:w="9056" w:type="dxa"/>
          </w:tcPr>
          <w:p w14:paraId="69538B2A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21C4485E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2190615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10E5B844" w14:textId="77777777" w:rsidR="00564621" w:rsidRDefault="00564621" w:rsidP="00175EC3">
      <w:pPr>
        <w:pStyle w:val="Listenabsatz"/>
        <w:rPr>
          <w:rFonts w:asciiTheme="majorHAnsi" w:hAnsiTheme="majorHAnsi"/>
          <w:bCs/>
        </w:rPr>
      </w:pPr>
    </w:p>
    <w:p w14:paraId="56514B02" w14:textId="6259B96F" w:rsidR="00175EC3" w:rsidRPr="00522759" w:rsidRDefault="00803752" w:rsidP="0052275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 finden Sie Informationen über Kursschwankungen?</w:t>
      </w:r>
    </w:p>
    <w:p w14:paraId="616E54F6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06E74969" w14:textId="77777777" w:rsidTr="0065009A">
        <w:tc>
          <w:tcPr>
            <w:tcW w:w="9056" w:type="dxa"/>
          </w:tcPr>
          <w:p w14:paraId="60BE4C10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7F78F4D3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5E553BE3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526752CD" w14:textId="77777777" w:rsidR="00522759" w:rsidRPr="00564621" w:rsidRDefault="00522759" w:rsidP="00522759">
      <w:pPr>
        <w:pStyle w:val="Listenabsatz"/>
        <w:rPr>
          <w:rFonts w:asciiTheme="majorHAnsi" w:hAnsiTheme="majorHAnsi"/>
          <w:bCs/>
          <w:color w:val="00B050"/>
        </w:rPr>
      </w:pPr>
    </w:p>
    <w:p w14:paraId="19AA7D9E" w14:textId="3304C800" w:rsidR="00175EC3" w:rsidRPr="00522759" w:rsidRDefault="00803752" w:rsidP="0052275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Wo finden Sie das KGV? Was bedeutet das KGV! Ist ein niedriges oder ein hohes KGV besser?</w:t>
      </w:r>
    </w:p>
    <w:p w14:paraId="60E063A7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38364E2C" w14:textId="77777777" w:rsidTr="0065009A">
        <w:tc>
          <w:tcPr>
            <w:tcW w:w="9056" w:type="dxa"/>
          </w:tcPr>
          <w:p w14:paraId="1B5BEE10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0C8A0F9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1BD43D09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403E9B32" w14:textId="77777777" w:rsidR="00522759" w:rsidRPr="00564621" w:rsidRDefault="00522759" w:rsidP="00522759">
      <w:pPr>
        <w:pStyle w:val="Listenabsatz"/>
        <w:rPr>
          <w:rFonts w:asciiTheme="majorHAnsi" w:hAnsiTheme="majorHAnsi"/>
          <w:bCs/>
          <w:color w:val="00B050"/>
        </w:rPr>
      </w:pPr>
    </w:p>
    <w:p w14:paraId="145578C0" w14:textId="7F6C98C6" w:rsidR="00522759" w:rsidRDefault="00522759" w:rsidP="005948AB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t>Recherchieren Sie und skizzieren Sie die Kursentwicklung der letzten 3 Jahre und geben Sie mögliche Gründe für diese an.</w:t>
      </w:r>
    </w:p>
    <w:p w14:paraId="21DCBD93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23D6FE51" w14:textId="77777777" w:rsidTr="0065009A">
        <w:tc>
          <w:tcPr>
            <w:tcW w:w="9056" w:type="dxa"/>
          </w:tcPr>
          <w:p w14:paraId="2C616C7F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08C118A" w14:textId="1CB3EAFC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D4A7C06" w14:textId="6D84BEAE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18940483" w14:textId="017DCD44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52385B9B" w14:textId="571F2219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606C07C0" w14:textId="2B723575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577981C6" w14:textId="59CD9520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EDED8D2" w14:textId="0630D539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1A709286" w14:textId="6BB1D59A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205C5442" w14:textId="11191D41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B83FFB6" w14:textId="61F5AC53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28E0E9BC" w14:textId="57739541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831D527" w14:textId="7ACAFA4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57F07013" w14:textId="3E08738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6544C7B9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889A6F7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09E71FD4" w14:textId="77777777" w:rsidR="00522759" w:rsidRPr="00522759" w:rsidRDefault="00522759" w:rsidP="00522759">
      <w:pPr>
        <w:rPr>
          <w:rFonts w:asciiTheme="majorHAnsi" w:hAnsiTheme="majorHAnsi"/>
          <w:bCs/>
        </w:rPr>
      </w:pPr>
    </w:p>
    <w:p w14:paraId="106962E8" w14:textId="6C479037" w:rsidR="00564621" w:rsidRPr="00522759" w:rsidRDefault="00803752" w:rsidP="00522759">
      <w:pPr>
        <w:rPr>
          <w:rFonts w:asciiTheme="majorHAnsi" w:hAnsiTheme="majorHAnsi"/>
          <w:bCs/>
        </w:rPr>
      </w:pPr>
      <w:r w:rsidRPr="00522759">
        <w:rPr>
          <w:rFonts w:asciiTheme="majorHAnsi" w:hAnsiTheme="majorHAnsi"/>
          <w:bCs/>
        </w:rPr>
        <w:lastRenderedPageBreak/>
        <w:t>Ein Großinvestor beauftragt die Deutsche Bank, alle verfügbaren Aktien der VÖST Alpine zu kaufen. Worauf m</w:t>
      </w:r>
      <w:r w:rsidR="00522759" w:rsidRPr="00522759">
        <w:rPr>
          <w:rFonts w:asciiTheme="majorHAnsi" w:hAnsiTheme="majorHAnsi"/>
          <w:bCs/>
        </w:rPr>
        <w:t>üssen</w:t>
      </w:r>
      <w:r w:rsidRPr="00522759">
        <w:rPr>
          <w:rFonts w:asciiTheme="majorHAnsi" w:hAnsiTheme="majorHAnsi"/>
          <w:bCs/>
        </w:rPr>
        <w:t xml:space="preserve"> Aktienhändler der Deutschen Bank achten, damit</w:t>
      </w:r>
      <w:r w:rsidR="00522759" w:rsidRPr="00522759">
        <w:rPr>
          <w:rFonts w:asciiTheme="majorHAnsi" w:hAnsiTheme="majorHAnsi"/>
          <w:bCs/>
        </w:rPr>
        <w:t xml:space="preserve"> ihm kein Vorwurf von Insiderhandel gemacht werden kann?</w:t>
      </w:r>
      <w:r w:rsidRPr="00522759">
        <w:rPr>
          <w:rFonts w:asciiTheme="majorHAnsi" w:hAnsiTheme="majorHAnsi"/>
          <w:bCs/>
        </w:rPr>
        <w:t xml:space="preserve"> </w:t>
      </w:r>
    </w:p>
    <w:p w14:paraId="3D951923" w14:textId="14B7DD7A" w:rsidR="00175EC3" w:rsidRDefault="00175EC3" w:rsidP="00564621">
      <w:pPr>
        <w:rPr>
          <w:rFonts w:asciiTheme="majorHAnsi" w:hAnsiTheme="majorHAnsi"/>
          <w:sz w:val="20"/>
          <w:szCs w:val="20"/>
        </w:rPr>
      </w:pPr>
    </w:p>
    <w:p w14:paraId="75DD84A3" w14:textId="77777777" w:rsidR="00522759" w:rsidRPr="00851B64" w:rsidRDefault="00522759" w:rsidP="00522759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22759" w14:paraId="301E13F0" w14:textId="77777777" w:rsidTr="0065009A">
        <w:tc>
          <w:tcPr>
            <w:tcW w:w="9056" w:type="dxa"/>
          </w:tcPr>
          <w:p w14:paraId="4E366503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17CE116A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577EC382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51F2E50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084095F9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0C61BF1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3B2AC604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  <w:p w14:paraId="72FB5CA5" w14:textId="77777777" w:rsidR="00522759" w:rsidRDefault="00522759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0CEFAA8B" w14:textId="77777777" w:rsidR="00522759" w:rsidRPr="00522759" w:rsidRDefault="00522759" w:rsidP="00522759">
      <w:pPr>
        <w:rPr>
          <w:rFonts w:asciiTheme="majorHAnsi" w:hAnsiTheme="majorHAnsi"/>
          <w:bCs/>
        </w:rPr>
      </w:pPr>
    </w:p>
    <w:p w14:paraId="6FE19BF9" w14:textId="3D299984" w:rsidR="005948AB" w:rsidRDefault="005948AB" w:rsidP="00564621">
      <w:pPr>
        <w:rPr>
          <w:rFonts w:asciiTheme="majorHAnsi" w:hAnsiTheme="majorHAnsi"/>
          <w:sz w:val="20"/>
          <w:szCs w:val="20"/>
        </w:rPr>
      </w:pPr>
    </w:p>
    <w:p w14:paraId="70D91B29" w14:textId="3DEEC27B" w:rsidR="005948AB" w:rsidRPr="005948AB" w:rsidRDefault="005948AB" w:rsidP="005948A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Die VÖST Alpine AG ist interessiert an der Aufnahme in den ETF MSCI World</w:t>
      </w:r>
      <w:r w:rsidRPr="00522759">
        <w:rPr>
          <w:rFonts w:asciiTheme="majorHAnsi" w:hAnsiTheme="majorHAnsi"/>
          <w:bCs/>
        </w:rPr>
        <w:t>?</w:t>
      </w:r>
      <w:r>
        <w:rPr>
          <w:rFonts w:asciiTheme="majorHAnsi" w:hAnsiTheme="majorHAnsi"/>
          <w:bCs/>
        </w:rPr>
        <w:t xml:space="preserve"> Beschreiben Sie, was man unter einem ETF und unter dem MSCI World versteht? </w:t>
      </w:r>
      <w:r>
        <w:rPr>
          <w:rFonts w:asciiTheme="majorHAnsi" w:hAnsiTheme="majorHAnsi"/>
          <w:bCs/>
        </w:rPr>
        <w:t>Welche Indizes kommen bei ETFs regelmäßig zur Anwendung?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Nennen</w:t>
      </w:r>
      <w:proofErr w:type="gramEnd"/>
      <w:r>
        <w:rPr>
          <w:rFonts w:asciiTheme="majorHAnsi" w:hAnsiTheme="majorHAnsi"/>
          <w:bCs/>
        </w:rPr>
        <w:t xml:space="preserve"> Sie einen nachhaltigen ETF?</w:t>
      </w:r>
      <w:r w:rsidRPr="00522759">
        <w:rPr>
          <w:rFonts w:asciiTheme="majorHAnsi" w:hAnsiTheme="majorHAnsi"/>
          <w:bCs/>
        </w:rPr>
        <w:t xml:space="preserve"> </w:t>
      </w:r>
      <w:r w:rsidR="00772ABF">
        <w:rPr>
          <w:rFonts w:asciiTheme="majorHAnsi" w:hAnsiTheme="majorHAnsi"/>
          <w:bCs/>
        </w:rPr>
        <w:t xml:space="preserve">Was ist der Vorteil von ETFs </w:t>
      </w:r>
      <w:proofErr w:type="gramStart"/>
      <w:r w:rsidR="00772ABF">
        <w:rPr>
          <w:rFonts w:asciiTheme="majorHAnsi" w:hAnsiTheme="majorHAnsi"/>
          <w:bCs/>
        </w:rPr>
        <w:t>gegenüber regulärer Investmentfonds</w:t>
      </w:r>
      <w:proofErr w:type="gramEnd"/>
      <w:r w:rsidR="00772ABF">
        <w:rPr>
          <w:rFonts w:asciiTheme="majorHAnsi" w:hAnsiTheme="majorHAnsi"/>
          <w:bCs/>
        </w:rPr>
        <w:t>?</w:t>
      </w:r>
    </w:p>
    <w:p w14:paraId="53F3FA9D" w14:textId="77777777" w:rsidR="005948AB" w:rsidRPr="00851B64" w:rsidRDefault="005948AB" w:rsidP="005948AB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8AB" w14:paraId="6E0966F6" w14:textId="77777777" w:rsidTr="0065009A">
        <w:tc>
          <w:tcPr>
            <w:tcW w:w="9056" w:type="dxa"/>
          </w:tcPr>
          <w:p w14:paraId="51E249A7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713065BB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68BB9D82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009677B2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277A979F" w14:textId="0BA7AD2C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3AAB2536" w14:textId="52BF533F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10E96E6F" w14:textId="663E43EE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7DC0F6B8" w14:textId="6EC5FB4F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3C46F950" w14:textId="09D75665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251A1C7C" w14:textId="75C398EF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6BCF0B7F" w14:textId="00F8FEF4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6B5974D6" w14:textId="61E4174C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065EB706" w14:textId="7AA010AE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69ACE98E" w14:textId="2988E0A7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031F2802" w14:textId="5D4E9730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2B0AEAB4" w14:textId="5CDAB2D6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4D0BA577" w14:textId="52D7AB62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36D6B0AF" w14:textId="6544FA7F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224ABA92" w14:textId="27E4441D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7B15D48A" w14:textId="0F87A154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6144DC45" w14:textId="29C32B38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3F5DC941" w14:textId="0BFE8826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3EB9E2DC" w14:textId="7C40EF94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623402EA" w14:textId="0060B87B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199208A0" w14:textId="77777777" w:rsidR="00772ABF" w:rsidRDefault="00772ABF" w:rsidP="0065009A">
            <w:pPr>
              <w:rPr>
                <w:rFonts w:asciiTheme="majorHAnsi" w:hAnsiTheme="majorHAnsi" w:cs="Arial"/>
              </w:rPr>
            </w:pPr>
          </w:p>
          <w:p w14:paraId="25176BD5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0E908AC8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  <w:p w14:paraId="5A28E5EC" w14:textId="77777777" w:rsidR="005948AB" w:rsidRDefault="005948AB" w:rsidP="0065009A">
            <w:pPr>
              <w:rPr>
                <w:rFonts w:asciiTheme="majorHAnsi" w:hAnsiTheme="majorHAnsi" w:cs="Arial"/>
              </w:rPr>
            </w:pPr>
          </w:p>
        </w:tc>
      </w:tr>
    </w:tbl>
    <w:p w14:paraId="7FF332BE" w14:textId="77777777" w:rsidR="005948AB" w:rsidRPr="00564621" w:rsidRDefault="005948AB" w:rsidP="00564621">
      <w:pPr>
        <w:rPr>
          <w:rFonts w:asciiTheme="majorHAnsi" w:hAnsiTheme="majorHAnsi"/>
          <w:sz w:val="20"/>
          <w:szCs w:val="20"/>
        </w:rPr>
      </w:pPr>
    </w:p>
    <w:sectPr w:rsidR="005948AB" w:rsidRPr="00564621" w:rsidSect="008915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Aria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33D16"/>
    <w:multiLevelType w:val="hybridMultilevel"/>
    <w:tmpl w:val="0F4A06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D4C"/>
    <w:multiLevelType w:val="hybridMultilevel"/>
    <w:tmpl w:val="90360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E4C"/>
    <w:multiLevelType w:val="hybridMultilevel"/>
    <w:tmpl w:val="E7229CAC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66693"/>
    <w:multiLevelType w:val="hybridMultilevel"/>
    <w:tmpl w:val="8F7E5876"/>
    <w:lvl w:ilvl="0" w:tplc="8B468B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8E6"/>
    <w:multiLevelType w:val="hybridMultilevel"/>
    <w:tmpl w:val="E7E6E948"/>
    <w:lvl w:ilvl="0" w:tplc="B0B241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6228"/>
    <w:multiLevelType w:val="hybridMultilevel"/>
    <w:tmpl w:val="D8D4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E4BFC"/>
    <w:multiLevelType w:val="hybridMultilevel"/>
    <w:tmpl w:val="E7229CAC"/>
    <w:lvl w:ilvl="0" w:tplc="21147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06F64"/>
    <w:multiLevelType w:val="hybridMultilevel"/>
    <w:tmpl w:val="4ACA8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36FA"/>
    <w:multiLevelType w:val="hybridMultilevel"/>
    <w:tmpl w:val="12489174"/>
    <w:lvl w:ilvl="0" w:tplc="EA2AD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74C1E"/>
    <w:multiLevelType w:val="hybridMultilevel"/>
    <w:tmpl w:val="6E46D0F2"/>
    <w:lvl w:ilvl="0" w:tplc="C862DF34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4"/>
    <w:rsid w:val="00013433"/>
    <w:rsid w:val="00175EC3"/>
    <w:rsid w:val="001C28A1"/>
    <w:rsid w:val="002077B6"/>
    <w:rsid w:val="00231267"/>
    <w:rsid w:val="00253EFA"/>
    <w:rsid w:val="002623A4"/>
    <w:rsid w:val="002A567D"/>
    <w:rsid w:val="002B1938"/>
    <w:rsid w:val="002C5F19"/>
    <w:rsid w:val="00324DA5"/>
    <w:rsid w:val="003350B6"/>
    <w:rsid w:val="003A51E8"/>
    <w:rsid w:val="003C6047"/>
    <w:rsid w:val="004171BC"/>
    <w:rsid w:val="004213F3"/>
    <w:rsid w:val="00430AEB"/>
    <w:rsid w:val="00431151"/>
    <w:rsid w:val="00432815"/>
    <w:rsid w:val="00522759"/>
    <w:rsid w:val="00564621"/>
    <w:rsid w:val="005948AB"/>
    <w:rsid w:val="005A6543"/>
    <w:rsid w:val="005B217C"/>
    <w:rsid w:val="005F00C1"/>
    <w:rsid w:val="006003FD"/>
    <w:rsid w:val="00607306"/>
    <w:rsid w:val="00677A5A"/>
    <w:rsid w:val="006B349D"/>
    <w:rsid w:val="006D18A7"/>
    <w:rsid w:val="007330D4"/>
    <w:rsid w:val="007468CE"/>
    <w:rsid w:val="00747355"/>
    <w:rsid w:val="00772ABF"/>
    <w:rsid w:val="007916C9"/>
    <w:rsid w:val="007B47B4"/>
    <w:rsid w:val="007F1BAC"/>
    <w:rsid w:val="007F616A"/>
    <w:rsid w:val="0080253A"/>
    <w:rsid w:val="00803752"/>
    <w:rsid w:val="008223E7"/>
    <w:rsid w:val="0084473C"/>
    <w:rsid w:val="00851B64"/>
    <w:rsid w:val="00875485"/>
    <w:rsid w:val="008769CF"/>
    <w:rsid w:val="008915CE"/>
    <w:rsid w:val="008D3B7A"/>
    <w:rsid w:val="008E6F7A"/>
    <w:rsid w:val="008F37A8"/>
    <w:rsid w:val="00931C2F"/>
    <w:rsid w:val="00936C8F"/>
    <w:rsid w:val="0095563A"/>
    <w:rsid w:val="00A01ED6"/>
    <w:rsid w:val="00A26403"/>
    <w:rsid w:val="00A4232F"/>
    <w:rsid w:val="00A5029C"/>
    <w:rsid w:val="00A86D6D"/>
    <w:rsid w:val="00A87D74"/>
    <w:rsid w:val="00AE1AE1"/>
    <w:rsid w:val="00B055E3"/>
    <w:rsid w:val="00B1018E"/>
    <w:rsid w:val="00B903E2"/>
    <w:rsid w:val="00BC747E"/>
    <w:rsid w:val="00BC7D5C"/>
    <w:rsid w:val="00BF6173"/>
    <w:rsid w:val="00C02312"/>
    <w:rsid w:val="00C26E72"/>
    <w:rsid w:val="00C31D6F"/>
    <w:rsid w:val="00C5633E"/>
    <w:rsid w:val="00CA302D"/>
    <w:rsid w:val="00CF714A"/>
    <w:rsid w:val="00D139A7"/>
    <w:rsid w:val="00D140AD"/>
    <w:rsid w:val="00D257D4"/>
    <w:rsid w:val="00E27F1D"/>
    <w:rsid w:val="00E3339B"/>
    <w:rsid w:val="00E452E5"/>
    <w:rsid w:val="00EB05C7"/>
    <w:rsid w:val="00EC39A1"/>
    <w:rsid w:val="00F37509"/>
    <w:rsid w:val="00F43E0A"/>
    <w:rsid w:val="00FE38E4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53FD2"/>
  <w14:defaultImageDpi w14:val="300"/>
  <w15:docId w15:val="{30E20597-05C6-B044-88A0-61A3B7C2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E0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E0A"/>
    <w:rPr>
      <w:rFonts w:ascii="Lucida Grande" w:hAnsi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F43E0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3E0A"/>
    <w:pPr>
      <w:ind w:left="720"/>
      <w:contextualSpacing/>
    </w:pPr>
  </w:style>
  <w:style w:type="paragraph" w:customStyle="1" w:styleId="Text">
    <w:name w:val="Text"/>
    <w:rsid w:val="00CF714A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table" w:styleId="Tabellenraster">
    <w:name w:val="Table Grid"/>
    <w:basedOn w:val="NormaleTabelle"/>
    <w:uiPriority w:val="59"/>
    <w:rsid w:val="0085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6</cp:revision>
  <cp:lastPrinted>2015-06-25T11:18:00Z</cp:lastPrinted>
  <dcterms:created xsi:type="dcterms:W3CDTF">2021-09-30T08:58:00Z</dcterms:created>
  <dcterms:modified xsi:type="dcterms:W3CDTF">2021-09-30T09:54:00Z</dcterms:modified>
</cp:coreProperties>
</file>